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F8" w:rsidRPr="00F806F8" w:rsidRDefault="00F806F8" w:rsidP="00F806F8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hyperlink r:id="rId6" w:history="1">
        <w:r w:rsidRPr="00F806F8">
          <w:rPr>
            <w:rFonts w:ascii="Palatino Linotype" w:eastAsia="Times New Roman" w:hAnsi="Palatino Linotype" w:cs="Times New Roman"/>
            <w:color w:val="98A48E"/>
            <w:sz w:val="45"/>
          </w:rPr>
          <w:t>Антикризисные меры поддержки бизнеса в условиях экономических санкций Меры поддержки</w:t>
        </w:r>
      </w:hyperlink>
    </w:p>
    <w:p w:rsidR="00F806F8" w:rsidRPr="00F806F8" w:rsidRDefault="00F806F8" w:rsidP="00F806F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F806F8">
        <w:rPr>
          <w:rFonts w:ascii="Verdana" w:eastAsia="Times New Roman" w:hAnsi="Verdana" w:cs="Times New Roman"/>
          <w:color w:val="819075"/>
          <w:sz w:val="24"/>
          <w:szCs w:val="24"/>
        </w:rPr>
        <w:t>Просмотров: 190</w:t>
      </w:r>
    </w:p>
    <w:p w:rsidR="00F806F8" w:rsidRPr="00F806F8" w:rsidRDefault="00F806F8" w:rsidP="00F806F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806F8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7"/>
        <w:gridCol w:w="286"/>
        <w:gridCol w:w="263"/>
        <w:gridCol w:w="249"/>
        <w:gridCol w:w="220"/>
        <w:gridCol w:w="213"/>
        <w:gridCol w:w="731"/>
        <w:gridCol w:w="730"/>
        <w:gridCol w:w="730"/>
        <w:gridCol w:w="1489"/>
        <w:gridCol w:w="92"/>
      </w:tblGrid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Антикризисные меры поддержки бизнеса в условиях экономических санкций Меры поддержки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Комментарий и условия применения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НПА/Документы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F806F8" w:rsidRPr="00F806F8" w:rsidTr="00F806F8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Федеральные меры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Приостановление плановых проверок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плановые проверки для субъектов МСП автоматически отме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няются до конца 2022 года.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При этом плановые проверки будут сохранены только в отношении небольшого закрытого перечня объектов контроля в рамк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ах: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•                     • санитарно-эпидемиологического, ветеринарного и пожарного контроля;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•                     • надзора в области промышленной безопасности.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 Постановлении № 336 отмечено, что проведение внеплановых контрольных мероприятий допустимо лишь в исключительных случаях при угроз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е: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•                     • жизни и причинения тяжкого вреда здоровью граждан;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•                     • обороне страны и безопасности государства;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•               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     • возникновения природных и техногенных чрезвычайных ситуаций.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При этом такие проверки должны быть согласованы с прокуратурой.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31.12.2022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Постановление Правительства Российской Федерации от 10.03.2022 № 336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Снятие ограничений на проведение гос. закупок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субъектам Росси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йской Федерации дается право на приобретение товаров через прямые поставки без проведения торгов, что поддержит местных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31.1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МСП производственной и торговой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сферы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08.03.2022 № 46-ФЗ 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806F8" w:rsidRPr="00F806F8" w:rsidTr="00F806F8"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товаропроизводителей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на региональном уровне в настоящее время согласовывается порядок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осуществления таких закупок, предполагается освободить от необходимости проведения торгов контракты на сумму до 10 млн рублей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Льготное кредитование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Корпорации МСП</w:t>
            </w:r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7" w:history="1">
              <w:r w:rsidRPr="00F806F8">
                <w:rPr>
                  <w:rFonts w:ascii="Verdana" w:eastAsia="Times New Roman" w:hAnsi="Verdana" w:cs="Times New Roman"/>
                  <w:b/>
                  <w:bCs/>
                  <w:color w:val="7D7D7D"/>
                  <w:sz w:val="24"/>
                  <w:szCs w:val="24"/>
                </w:rPr>
                <w:t>https://corpmsp.ru/pres_slujba/news/v_korporatsii_msp_razyasnili_usloviya_novykh_kreditnykh_programm_dlya_malogo_i_srednego_biznesa/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3 направления поддержки: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1. «Антикризисная программа» ставка до 8,5% годовых на оборотные и инвестиционные цели на отрас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ли, определенные в постановлении Правительства России № 1513 (кредитование и рефинансирование). Сумма кредита – до 150 млн руб.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31.03.2022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субъекты МСП из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перечня пострадавших отраслей</w:t>
            </w:r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8" w:anchor="/document/402797350/paragraph/204/doclist/3303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http://ivo.garant.ru/#/document/402797350/paragraph/204/doclist/3303</w:t>
              </w:r>
            </w:hyperlink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:0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Участвуют все акредитованные банки, в т.ч. системно значимые кредитные организации. Список банков на сайте Корпорации МСП </w:t>
            </w:r>
            <w:hyperlink r:id="rId9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https://corpmsp.ru/bankam/programma_stimulir/</w:t>
              </w:r>
            </w:hyperlink>
          </w:p>
        </w:tc>
      </w:tr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2. «Инвестиционная», ставка до 15% годовых для малого и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микробизнеса, 13,5% для среднего бизнеса (старт работы с 01.04.2022)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 тече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ние 2022 г. при наличии лимитов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субъекты МСП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В системно значимых банках можно получить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кредит только на инвестиционные цели, в остальных — как на инвестиционные, так и на оборотные. Участвуют все банки, аккредитованные Корпорацией МСП. Список на сайте Корпорации МСП </w:t>
            </w:r>
            <w:hyperlink r:id="rId10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https://corpmsp.ru/bankam/programma_stimulir/</w:t>
              </w:r>
            </w:hyperlink>
          </w:p>
        </w:tc>
      </w:tr>
      <w:tr w:rsidR="00F806F8" w:rsidRPr="00F806F8" w:rsidTr="00F806F8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3. «Оборотная» ставка до 15% годовых для малого и микробизнеса, 13,5% для среднего бизнеса (старт работы в течение марта 2022) (кредитование и рефинансирование)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Прорабатывается Банком России. Начнёт работать в середине марта (после подписания соглашений банков с ЦБ).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Льготное кредитование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по 1764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кредитные средства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на пополнение оборотных средств под 15% годовых для малого и микробизнеса, 13,5% для среднего бизнеса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31.12.20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все субъекты МСП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Постановление Правительства Российской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Федерации от 30.12.2018 № 1764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Кредитные каникулы (отсрочка по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Субъекты МСП имеют прав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 на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все субъекты МСП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Федеральный закон от 08.03.2022 № 46-ФЗ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F806F8" w:rsidRPr="00F806F8" w:rsidRDefault="00F806F8" w:rsidP="00F806F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806F8">
        <w:rPr>
          <w:rFonts w:ascii="Verdana" w:eastAsia="Times New Roman" w:hAnsi="Verdana" w:cs="Times New Roman"/>
          <w:color w:val="292D24"/>
          <w:sz w:val="24"/>
          <w:szCs w:val="24"/>
        </w:rPr>
        <w:t>3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2"/>
        <w:gridCol w:w="417"/>
        <w:gridCol w:w="429"/>
        <w:gridCol w:w="395"/>
        <w:gridCol w:w="419"/>
        <w:gridCol w:w="349"/>
        <w:gridCol w:w="1261"/>
        <w:gridCol w:w="1261"/>
        <w:gridCol w:w="1261"/>
        <w:gridCol w:w="1616"/>
      </w:tblGrid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уплате основного долга и процентов)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новые кредитные каникулы, в том числе по ипотеке.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Документ, внесенный Правительством, предоставляет такое право заемщиков, заключившим кредитный договор до 1 марта 2022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года. В период с 1 марта по 30 сентября они смогут обратиться к кредитору с заявлением о предоставлении кредитных каникул, если доходы компании упали на 30% от среднемесячных.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Запросить кредитные каникулы смогут и те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заемщики, которые в ковидный период уже воспользовались таким правом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01.09.2022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Перечень отраслей:</w:t>
            </w:r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11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http://static.government.ru/media/files/quQ3AtSRPM7RCBWSE81sAqAgNvgIZywK.pdf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«О внесении изменений в отдельные законодательные акты Российской Федерации»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Сохранение ставок по льготному лизингу оборудования</w:t>
            </w:r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12" w:history="1">
              <w:r w:rsidRPr="00F806F8">
                <w:rPr>
                  <w:rFonts w:ascii="Verdana" w:eastAsia="Times New Roman" w:hAnsi="Verdana" w:cs="Times New Roman"/>
                  <w:b/>
                  <w:bCs/>
                  <w:color w:val="7D7D7D"/>
                  <w:sz w:val="24"/>
                  <w:szCs w:val="24"/>
                </w:rPr>
                <w:t>https://corpmsp.ru/finansovaya-podderzhka/lizingovaya-podderzhka/lizingopoluchatelyam/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мера поддержки реализуется через региональные лизинговые компании Республики Татарстан, Башкортостан, Саха (Якутия) и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Ярославской области. Предприниматель из любого региона страны может получить лизинговую поддержку обратившись в одну из компаний под 6-8% годовых.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31.12.2022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все субъекты МСП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Региональная лизинговая компания Республики Татарстан </w:t>
            </w:r>
            <w:hyperlink r:id="rId13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http://rlcrt.ru/</w:t>
              </w:r>
            </w:hyperlink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Региональная лизинговая компания Республики Башкортостан </w:t>
            </w:r>
            <w:hyperlink r:id="rId14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https://www.rlcrb.ru/</w:t>
              </w:r>
            </w:hyperlink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Региональная лизинговая компания Республики Саха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(Якутия) </w:t>
            </w:r>
            <w:hyperlink r:id="rId15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https://rlc-sakha.ru/</w:t>
              </w:r>
            </w:hyperlink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Региональная лизинговая компания Ярославской области </w:t>
            </w:r>
            <w:hyperlink r:id="rId16" w:history="1">
              <w:r w:rsidRPr="00F806F8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https://rlc76.ru/</w:t>
              </w:r>
            </w:hyperlink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Система быстрых платежей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обнуление комиссии для бизнеса за пользование системой быстрых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31.12.2022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все субъекты МСП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Решение Банка России от 25.02.2022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Отмена необходимости продления лицензий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Бизнес сможет продолжать работу без продления лицензий/разрешений, продлевать их срок без обязательных процедур оценки соответствия, уплаты госпошлины и оплаты необходимых госуслуг, а также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до 31.12.2022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все субъекты МСП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Постановление Правительства РФ от 12 марта 2022 г. № 353 «Об особенностях разрешительной деятельности в Российской Федерации в 2022 году»</w:t>
            </w:r>
          </w:p>
        </w:tc>
      </w:tr>
      <w:tr w:rsidR="00F806F8" w:rsidRPr="00F806F8" w:rsidTr="00F806F8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не проходить процедуры оценки соответствия по бессрочным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лицензиям/разрешениям</w:t>
            </w:r>
          </w:p>
        </w:tc>
      </w:tr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Налог на имущество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Индивидуальные предприниматели, применяющие специальные налоговые режимы (например, УСН, патентная система), освобождаются от уплаты налога на имущество физических лиц в отношении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имущества, используемого в предпринимательской деятельности, на основании п. 3 ст. 346.11, п. 10 ст. 346.43 Налогового кодекса РФ (далее – НК РФ).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Однако существует и исключение. Платить налог в соответствии с п. 3 ст. 346.11, п. 10. ст. 346.43,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п. 7 ст. 378.2 НК РФ придется, если имущество включено в перечень объектов недвижимого имущества, в отношении которых налоговая база определяется как кадастровая стоимость.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Следовательно, если принадлежащее нежилое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помещение в перечень включено, то освобождение от уплаты налога на имущество физических лиц в отношении такого имущества не действует.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Приказ Министерства имущественных и земельных отношений Республики Хакасия от 17.12.2021 № 020-84-п «Об определении на 2022 год перечня объектов недвижимого имущества, в отношении которых налоговая база определяется как кадастровая стоимость»</w:t>
            </w:r>
          </w:p>
        </w:tc>
      </w:tr>
      <w:tr w:rsidR="00F806F8" w:rsidRPr="00F806F8" w:rsidTr="00F806F8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Кроме того, предприниматели, являющиеся плательщиками единого сельскохозяйственного налога, освобождаются от обязанности по уплате налога в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Организации и индивидуальные предприниматели, являющиеся сельскохозяйственными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ст. 346.1 Налогового кодекса Российской</w:t>
            </w:r>
          </w:p>
        </w:tc>
      </w:tr>
      <w:tr w:rsidR="00F806F8" w:rsidRPr="00F806F8" w:rsidTr="00F806F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отношении имущества, используемого для осуществления предпринимательской деятельности (в части имущества, используемого при производстве сельхозпродукции, первичной и последующей (промышленной) переработке и реализации этой продукции, а также при оказании услуг сельхозтоваропроизводителями).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Перечисленные налоговые льготы могут применяться на основании направленного в налоговый орган заявления.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товаропроизводителями (в соответствии со ст. 346.2 Налогового кодекса Российской Федерации)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Налоговая поддержка сферы туризма</w:t>
            </w:r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17" w:history="1">
              <w:r w:rsidRPr="00F806F8">
                <w:rPr>
                  <w:rFonts w:ascii="Verdana" w:eastAsia="Times New Roman" w:hAnsi="Verdana" w:cs="Times New Roman"/>
                  <w:b/>
                  <w:bCs/>
                  <w:color w:val="7D7D7D"/>
                  <w:sz w:val="24"/>
                  <w:szCs w:val="24"/>
                </w:rPr>
                <w:t>https://www.garant.ru/news/1531599/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введение нулевой ставки НДС для строящихся, реконструирующихся объектов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размещения туристов на 5 лет после ввода в эксплуатацию данных объектов в эксплуатацию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30.06.2027 для существующих гости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ниц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Инвесторы, которые строят, предоставляют в аренду и управление туристические объекты – гостиницы и иные средства размещения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 стадии согласования у федерального правительства</w:t>
            </w:r>
          </w:p>
        </w:tc>
      </w:tr>
      <w:tr w:rsidR="00F806F8" w:rsidRPr="00F806F8" w:rsidTr="00F806F8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 течение 5 лет с момента ввода в эксплуатацию новых указанных туристических объектов</w:t>
            </w:r>
          </w:p>
        </w:tc>
      </w:tr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Отсрочка и пролонгация льготного кредитования сельхозпроизводителей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Сельхозпроизводители получили право полугодичной отсрочки платежей по льготным инвестиционным кредитам, срок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договоров по которым истекает в 2022 году.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Речь идёт о платежах, которые приходятся на период с 1 марта по 31 мая 2022 года.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сельскохозяйственные товаропроизводители, организации и индивидуальные предприниматели, осуществляющие производство, первичную и (или) последующую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Постановление Правительства РФ от 03.03.2022 № 280 «О внесении изменений в Правила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«ВЭБ.РФ» на возмещение недополученных ими доходов по кредитам, выданным сельскохозяйственным</w:t>
            </w:r>
          </w:p>
        </w:tc>
      </w:tr>
      <w:tr w:rsidR="00F806F8" w:rsidRPr="00F806F8" w:rsidTr="00F806F8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Для краткосрочных льготных займов, срок договоров по которым также истекает в 2022 году, предусмотрена возможность пролонгации срока кредита ещё на один год.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(промышленную) переработку сельскохозяйственной продукции и ее реализацию или малые формы хозяйствования, за исключением сельскохозяйственных кредитных потребительских кооперативов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льготной ставке»</w:t>
            </w:r>
          </w:p>
        </w:tc>
      </w:tr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Продление сроков сдачи отчетности и уплаты налогов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Правительство РФ наделено специальными полномочиями о переносе сроков уплаты налогов с 1 января по 31 декабря 2022 года. Вопросы о мерах поддержки прорабатываются.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до 31.12.2022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Федеральный закон от 09.03.2022 № 52-ФЗ «О внесении изменений в статьи 4 и 45 части первой Налогового кодекса Российской Федерации»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Пониженные тарифы на страховые взносы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1) на обязательное пенсионное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страхование: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в пределах установленной предельной величины базы для исчисления страховых взносов по данному виду страхования - 10,0 процента;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свыше установленной предельной величины базы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для исчисления страховых взносов по данному виду страхования - 10,0 процента;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2) на обязательное социальное страхование на случай временной нетрудоспособности и в связи с материнством - 0,0 процента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3) на обязательное медицинское страхование - 5,0 процента.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 2021 года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для плательщиков страховых взносов, признаваемых субъектами малого или среднего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п. 2.1 ст. 427 Налогового кодекса Российской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Поддержка IT-сферы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Налог на прибыль для IT-компаний снижен с 3% до 0%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до 31.12.2024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Аккредитованные IT-компании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п. 1.15 ст. 284 Налогового кодекса Российской Федерации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F806F8" w:rsidRPr="00F806F8" w:rsidRDefault="00F806F8" w:rsidP="00F806F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806F8">
        <w:rPr>
          <w:rFonts w:ascii="Verdana" w:eastAsia="Times New Roman" w:hAnsi="Verdana" w:cs="Times New Roman"/>
          <w:color w:val="292D24"/>
          <w:sz w:val="24"/>
          <w:szCs w:val="24"/>
        </w:rPr>
        <w:t>7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6"/>
        <w:gridCol w:w="633"/>
        <w:gridCol w:w="1768"/>
        <w:gridCol w:w="1611"/>
        <w:gridCol w:w="514"/>
        <w:gridCol w:w="2788"/>
      </w:tblGrid>
      <w:tr w:rsidR="00F806F8" w:rsidRPr="00F806F8" w:rsidTr="00F806F8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Чтобы пройти аккредитацию, нужно проходить по ОКВЭДам. Необходимые ОКВЭДы аккредитации юрлица: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62.01– разработка компьютерного программного обеспечения;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62.02– деятельность консультативная и работы в области компьютерных технологий;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62.02.1– деятельность по планированию, проектированию компьютерных систем;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62.02.4– деятельность по подготовке компьютерных систем к эксплуатации;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62.03.13– деятельность по сопровождению компьютерных систем;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62.09– деятельность, связанная с использованием вычислительной техники и информационных технологий;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63.11.1 – деятельность по созданию и использованию баз данных и информационных ресурсов.</w:t>
            </w:r>
          </w:p>
        </w:tc>
      </w:tr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Страховые взносы за сотрудников компании снижены до 7,6%.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 01.01.2021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пп. 3 п. 1, пп. 1.1 п. 2 ст. 427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Мораторий на проведение плановых проверок до конца 2024 года.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до 31.12.2024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Федеральный закон от 08.03.2022 № 46-ФЗ «О внесении изменений в отдельные законодательные акты Российской Федерации»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Маркировка товаров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Проект изменений предусматривает отсрочку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Производители молочной продукции,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 стадии согласования у федерального правительства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F806F8" w:rsidRPr="00F806F8" w:rsidRDefault="00F806F8" w:rsidP="00F806F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806F8">
        <w:rPr>
          <w:rFonts w:ascii="Verdana" w:eastAsia="Times New Roman" w:hAnsi="Verdana" w:cs="Times New Roman"/>
          <w:color w:val="292D24"/>
          <w:sz w:val="24"/>
          <w:szCs w:val="24"/>
        </w:rPr>
        <w:t>8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6"/>
        <w:gridCol w:w="1587"/>
        <w:gridCol w:w="454"/>
        <w:gridCol w:w="2013"/>
      </w:tblGrid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подключения к маркировке для крестьянско-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фермерских хозяйств, сельхозпроизводителей и кооперативов на год - это по молочной продукции до 1 декабря 2023 года. Далее: перенос обязанности по передаче сведений об операциях с маркированной молочной продукцией всеми предприятиями общественного питания. Это требование также перенесено на год, на 1 сентября 2023 года. Изменениями предусматривается продление старта обязанности передачи сведений о выводе из оборота скоропортящейся молочной продукции и продукции с долгим сроком хранения на 1 сентября 2022 года.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Проектом постановления предусмотрено освобождение участников, приобретающих упакованную воду и не связанных с дальнейшей реализацией и продажей, от обязанности передавать сведения о выводе из оборота на 1 декабря 2023 года. И перенос срока начала предоставления в систему маркировки о выводе из оборота всей упакованной воды путем розничной продажи на 1 марта 2023 года.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бутилированной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воды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Поддержка производителей хлеба</w:t>
            </w:r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18" w:history="1">
              <w:r w:rsidRPr="00F806F8">
                <w:rPr>
                  <w:rFonts w:ascii="Verdana" w:eastAsia="Times New Roman" w:hAnsi="Verdana" w:cs="Times New Roman"/>
                  <w:b/>
                  <w:bCs/>
                  <w:color w:val="7D7D7D"/>
                  <w:sz w:val="24"/>
                  <w:szCs w:val="24"/>
                </w:rPr>
                <w:t>http://government.ru/news/44740/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Подготовлены согласованные предложения по возмещению части затрат на производство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 стадии согласования у федерального правительства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F806F8" w:rsidRPr="00F806F8" w:rsidRDefault="00F806F8" w:rsidP="00F806F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806F8">
        <w:rPr>
          <w:rFonts w:ascii="Verdana" w:eastAsia="Times New Roman" w:hAnsi="Verdana" w:cs="Times New Roman"/>
          <w:color w:val="292D24"/>
          <w:sz w:val="24"/>
          <w:szCs w:val="24"/>
        </w:rPr>
        <w:t>9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  <w:gridCol w:w="243"/>
        <w:gridCol w:w="291"/>
        <w:gridCol w:w="1385"/>
        <w:gridCol w:w="630"/>
        <w:gridCol w:w="550"/>
        <w:gridCol w:w="873"/>
        <w:gridCol w:w="232"/>
        <w:gridCol w:w="223"/>
        <w:gridCol w:w="1227"/>
      </w:tblGrid>
      <w:tr w:rsidR="00F806F8" w:rsidRPr="00F806F8" w:rsidTr="00F806F8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хлеба и хлебобулочных изделий</w:t>
            </w:r>
          </w:p>
        </w:tc>
      </w:tr>
      <w:tr w:rsidR="00F806F8" w:rsidRPr="00F806F8" w:rsidTr="00F806F8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Поддержка молочной отрасли</w:t>
            </w:r>
          </w:p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19" w:history="1">
              <w:r w:rsidRPr="00F806F8">
                <w:rPr>
                  <w:rFonts w:ascii="Verdana" w:eastAsia="Times New Roman" w:hAnsi="Verdana" w:cs="Times New Roman"/>
                  <w:b/>
                  <w:bCs/>
                  <w:color w:val="7D7D7D"/>
                  <w:sz w:val="24"/>
                  <w:szCs w:val="24"/>
                </w:rPr>
                <w:t>http://government.ru/news/44740/</w:t>
              </w:r>
            </w:hyperlink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Прорабатываются меры поддержки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 стадии согласования у федерального правительства</w:t>
            </w:r>
          </w:p>
        </w:tc>
      </w:tr>
      <w:tr w:rsidR="00F806F8" w:rsidRPr="00F806F8" w:rsidTr="00F806F8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Имущественная поддержка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Прорабатываются меры поддержки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 стадии согласования у федерального правительства</w:t>
            </w:r>
          </w:p>
        </w:tc>
      </w:tr>
      <w:tr w:rsidR="00F806F8" w:rsidRPr="00F806F8" w:rsidTr="00F806F8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Поддержка строительной отрасли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Прорабатываются меры поддержки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на стадии согласования у федерального правительства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Сохранение программы ФОТ 3.0 для действующих заемщиков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Правительством России принято решение о выделении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средств на выполнение банками обязательств по выданным в 2021 году льготным кредитам на сохранение рабочих мест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до 31.12.2022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субъекты МСП, являющиеся участник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ами программы поддержки ФОТ 3.0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 процессе принятия</w:t>
            </w:r>
          </w:p>
        </w:tc>
      </w:tr>
      <w:tr w:rsidR="00F806F8" w:rsidRPr="00F806F8" w:rsidTr="00F806F8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Региональные меры поддержки</w:t>
            </w:r>
          </w:p>
        </w:tc>
      </w:tr>
      <w:tr w:rsidR="00F806F8" w:rsidRPr="00F806F8" w:rsidTr="00F806F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Льготное финансирование государственными МФО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https://мойбизнес19.рф/guarantee-fund-of-the-republic-of-khakassia/uslugi-fonda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В Хакасии такую меру поддержки оказывает НО «Гарантийный фонд-микрокредитная компания Республики Хакасия»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 xml:space="preserve">Субъектам МСП предоставляются короткие и дешёвые ресурсы (микрозаймы по ставке от 0,1% до 14% годовых до 3-х млн руб. на 2 года) по </w:t>
            </w: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новой линейке продуктов</w:t>
            </w:r>
          </w:p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Ставка для местных товаропроизводителей сегодня составляет 7-10% годовых, они рассматриваются в приоритетном порядке. Специально подготовлен льготный займ «Содействие», дается на неотложные нужды (3/п, аренда, коммуналка и т.д.), необходимо сохранить 90% работников, расчет привязан к МРОТ*1,6 и количеству сотрудников. Ставка 0,1%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 10.03.2022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все субъекты МСП</w:t>
            </w:r>
          </w:p>
        </w:tc>
      </w:tr>
      <w:tr w:rsidR="00F806F8" w:rsidRPr="00F806F8" w:rsidTr="00F806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806F8" w:rsidRPr="00F806F8" w:rsidRDefault="00F806F8" w:rsidP="00F806F8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806F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F806F8" w:rsidRPr="00F806F8" w:rsidRDefault="00F806F8" w:rsidP="00F806F8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F806F8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20" w:history="1">
        <w:r w:rsidRPr="00F806F8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</w:t>
        </w:r>
      </w:hyperlink>
    </w:p>
    <w:p w:rsidR="00F049C2" w:rsidRPr="00F806F8" w:rsidRDefault="00F049C2" w:rsidP="00F806F8"/>
    <w:sectPr w:rsidR="00F049C2" w:rsidRPr="00F806F8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7A26"/>
    <w:rsid w:val="000D4086"/>
    <w:rsid w:val="00176EB9"/>
    <w:rsid w:val="00181CA1"/>
    <w:rsid w:val="001D67F6"/>
    <w:rsid w:val="00295E0C"/>
    <w:rsid w:val="002968D4"/>
    <w:rsid w:val="00347497"/>
    <w:rsid w:val="00375786"/>
    <w:rsid w:val="003770B3"/>
    <w:rsid w:val="00377365"/>
    <w:rsid w:val="003E1B8B"/>
    <w:rsid w:val="00404576"/>
    <w:rsid w:val="004779FC"/>
    <w:rsid w:val="00522BE4"/>
    <w:rsid w:val="00524648"/>
    <w:rsid w:val="00561449"/>
    <w:rsid w:val="005B045E"/>
    <w:rsid w:val="005B4A5D"/>
    <w:rsid w:val="00600D2F"/>
    <w:rsid w:val="00602D24"/>
    <w:rsid w:val="007020C3"/>
    <w:rsid w:val="007A6EB1"/>
    <w:rsid w:val="007D1A7A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F049C2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rlcrt.ru/" TargetMode="External"/><Relationship Id="rId18" Type="http://schemas.openxmlformats.org/officeDocument/2006/relationships/hyperlink" Target="http://government.ru/news/4474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orpmsp.ru/pres_slujba/news/v_korporatsii_msp_razyasnili_usloviya_novykh_kreditnykh_programm_dlya_malogo_i_srednego_biznesa/" TargetMode="External"/><Relationship Id="rId12" Type="http://schemas.openxmlformats.org/officeDocument/2006/relationships/hyperlink" Target="https://corpmsp.ru/finansovaya-podderzhka/lizingovaya-podderzhka/lizingopoluchatelyam/" TargetMode="External"/><Relationship Id="rId17" Type="http://schemas.openxmlformats.org/officeDocument/2006/relationships/hyperlink" Target="https://www.garant.ru/news/153159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lc76.ru/" TargetMode="External"/><Relationship Id="rId20" Type="http://schemas.openxmlformats.org/officeDocument/2006/relationships/hyperlink" Target="https://admkoros.ru/imushchestvennaya-podderzhka-subektov-msp/imushchestvennaya-podderzhka-subektov-msp-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imushchestvennaya-podderzhka-subektov-msp/imushchestvennaya-podderzhka-subektov-msp-2/2289-antikrizisnye-mery-podderzhki-biznesa-v-usloviyakh-ekonomicheskikh-sanktsij-mery-podderzhki" TargetMode="External"/><Relationship Id="rId11" Type="http://schemas.openxmlformats.org/officeDocument/2006/relationships/hyperlink" Target="http://static.government.ru/media/files/quQ3AtSRPM7RCBWSE81sAqAgNvgIZyw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lc-sakha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corpmsp.ru/bankam/programma_stimulir/" TargetMode="External"/><Relationship Id="rId19" Type="http://schemas.openxmlformats.org/officeDocument/2006/relationships/hyperlink" Target="http://government.ru/news/447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msp.ru/bankam/programma_stimulir/" TargetMode="External"/><Relationship Id="rId14" Type="http://schemas.openxmlformats.org/officeDocument/2006/relationships/hyperlink" Target="https://www.rlcr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C6DA-8BFE-4909-A627-525C0F7E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32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35</cp:revision>
  <cp:lastPrinted>2017-03-16T05:23:00Z</cp:lastPrinted>
  <dcterms:created xsi:type="dcterms:W3CDTF">2017-03-14T13:52:00Z</dcterms:created>
  <dcterms:modified xsi:type="dcterms:W3CDTF">2023-11-10T17:44:00Z</dcterms:modified>
</cp:coreProperties>
</file>