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 периодичности сдачи крови, а также о гарантиях и компенсациях донорам</w:t>
      </w:r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Федеральный закон от 20.07.2012 N 125-ФЗ "О донорстве крови и ее компонентов" (далее Федеральный закон) устанавливает правовые, экономические и социальные основы развития донорства крови и ее компонентов в РФ в целях организации заготовки, хранения, транспортировки донорской крови и ее компонентов, обеспечения ее безопасности и клинического использования, а также охраны здоровья доноров крови и ее компонентов, реципиентов и защиты их прав.</w:t>
      </w:r>
      <w:proofErr w:type="gramEnd"/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Согласно ст. 6 Федерального закона пропаганда донорства крови и ее компонентов представляет собой информирование населения о социальной значимости донорства крови и ее компонентов в целях привлечения потенциальных доноров к сдаче крови и (или) ее компонентов, осуществляемое через средства массовой информации, а также посредством издания и распространения произведений науки, литературы и рекламных материалов, организации тематических выставок, смотров, конференций и использования других</w:t>
      </w:r>
      <w:proofErr w:type="gramEnd"/>
      <w:r>
        <w:rPr>
          <w:color w:val="292D24"/>
          <w:sz w:val="28"/>
          <w:szCs w:val="28"/>
        </w:rPr>
        <w:t xml:space="preserve"> способов информирования населения, не запрещенных законодательством РФ.</w:t>
      </w:r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Письмо Минздрава России от 18.05.2017 N 12-2/1101 даны разъяснения о периодичности сдачи крови, а также о гарантиях и компенсациях донорам в случае превышения максимально допустимого числа </w:t>
      </w:r>
      <w:proofErr w:type="spellStart"/>
      <w:r>
        <w:rPr>
          <w:color w:val="292D24"/>
          <w:sz w:val="28"/>
          <w:szCs w:val="28"/>
        </w:rPr>
        <w:t>кроводач</w:t>
      </w:r>
      <w:proofErr w:type="spellEnd"/>
      <w:r>
        <w:rPr>
          <w:color w:val="292D24"/>
          <w:sz w:val="28"/>
          <w:szCs w:val="28"/>
        </w:rPr>
        <w:t>.</w:t>
      </w:r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Так, согласно законодательству РФ максимально допустимое число </w:t>
      </w:r>
      <w:proofErr w:type="spellStart"/>
      <w:r>
        <w:rPr>
          <w:color w:val="292D24"/>
          <w:sz w:val="28"/>
          <w:szCs w:val="28"/>
        </w:rPr>
        <w:t>кроводач</w:t>
      </w:r>
      <w:proofErr w:type="spellEnd"/>
      <w:r>
        <w:rPr>
          <w:color w:val="292D24"/>
          <w:sz w:val="28"/>
          <w:szCs w:val="28"/>
        </w:rPr>
        <w:t xml:space="preserve"> в год составляет у мужчин - 5, у женщин - 4. Интервал между </w:t>
      </w:r>
      <w:proofErr w:type="spellStart"/>
      <w:r>
        <w:rPr>
          <w:color w:val="292D24"/>
          <w:sz w:val="28"/>
          <w:szCs w:val="28"/>
        </w:rPr>
        <w:t>кроводачей</w:t>
      </w:r>
      <w:proofErr w:type="spellEnd"/>
      <w:r>
        <w:rPr>
          <w:color w:val="292D24"/>
          <w:sz w:val="28"/>
          <w:szCs w:val="28"/>
        </w:rPr>
        <w:t xml:space="preserve"> и </w:t>
      </w:r>
      <w:proofErr w:type="spellStart"/>
      <w:r>
        <w:rPr>
          <w:color w:val="292D24"/>
          <w:sz w:val="28"/>
          <w:szCs w:val="28"/>
        </w:rPr>
        <w:t>последующейкроводачей</w:t>
      </w:r>
      <w:proofErr w:type="spellEnd"/>
      <w:r>
        <w:rPr>
          <w:color w:val="292D24"/>
          <w:sz w:val="28"/>
          <w:szCs w:val="28"/>
        </w:rPr>
        <w:t xml:space="preserve"> должен составлять 60 дней, а интервал между </w:t>
      </w:r>
      <w:proofErr w:type="spellStart"/>
      <w:r>
        <w:rPr>
          <w:color w:val="292D24"/>
          <w:sz w:val="28"/>
          <w:szCs w:val="28"/>
        </w:rPr>
        <w:t>кроводачей</w:t>
      </w:r>
      <w:proofErr w:type="spellEnd"/>
      <w:r>
        <w:rPr>
          <w:color w:val="292D24"/>
          <w:sz w:val="28"/>
          <w:szCs w:val="28"/>
        </w:rPr>
        <w:t xml:space="preserve"> и </w:t>
      </w:r>
      <w:proofErr w:type="spellStart"/>
      <w:r>
        <w:rPr>
          <w:color w:val="292D24"/>
          <w:sz w:val="28"/>
          <w:szCs w:val="28"/>
        </w:rPr>
        <w:t>плазмаферезом</w:t>
      </w:r>
      <w:proofErr w:type="spellEnd"/>
      <w:r>
        <w:rPr>
          <w:color w:val="292D24"/>
          <w:sz w:val="28"/>
          <w:szCs w:val="28"/>
        </w:rPr>
        <w:t xml:space="preserve"> - 30 дней. Ограничения количества </w:t>
      </w:r>
      <w:proofErr w:type="spellStart"/>
      <w:r>
        <w:rPr>
          <w:color w:val="292D24"/>
          <w:sz w:val="28"/>
          <w:szCs w:val="28"/>
        </w:rPr>
        <w:t>кроводач</w:t>
      </w:r>
      <w:proofErr w:type="spellEnd"/>
      <w:r>
        <w:rPr>
          <w:color w:val="292D24"/>
          <w:sz w:val="28"/>
          <w:szCs w:val="28"/>
        </w:rPr>
        <w:t xml:space="preserve"> относятся к ограничениям в отношении </w:t>
      </w:r>
      <w:proofErr w:type="spellStart"/>
      <w:r>
        <w:rPr>
          <w:color w:val="292D24"/>
          <w:sz w:val="28"/>
          <w:szCs w:val="28"/>
        </w:rPr>
        <w:t>донации</w:t>
      </w:r>
      <w:proofErr w:type="spellEnd"/>
      <w:r>
        <w:rPr>
          <w:color w:val="292D24"/>
          <w:sz w:val="28"/>
          <w:szCs w:val="28"/>
        </w:rPr>
        <w:t xml:space="preserve"> крови, но не в отношении </w:t>
      </w:r>
      <w:proofErr w:type="spellStart"/>
      <w:r>
        <w:rPr>
          <w:color w:val="292D24"/>
          <w:sz w:val="28"/>
          <w:szCs w:val="28"/>
        </w:rPr>
        <w:t>донации</w:t>
      </w:r>
      <w:proofErr w:type="spellEnd"/>
      <w:r>
        <w:rPr>
          <w:color w:val="292D24"/>
          <w:sz w:val="28"/>
          <w:szCs w:val="28"/>
        </w:rPr>
        <w:t xml:space="preserve"> плазмы крови или иных компонентов донорской крови.</w:t>
      </w:r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После каждого дня сдачи крови и (или)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крови. При сдаче крови работодатель сохраняет за работником его средний заработок за дни сдачи и предоставленные в связи с этим дни отдыха.</w:t>
      </w:r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Иные условия предоставления гарантий и компенсаций работнику в зависимости от количества </w:t>
      </w:r>
      <w:proofErr w:type="spellStart"/>
      <w:r>
        <w:rPr>
          <w:color w:val="292D24"/>
          <w:sz w:val="28"/>
          <w:szCs w:val="28"/>
        </w:rPr>
        <w:t>донаций</w:t>
      </w:r>
      <w:proofErr w:type="spellEnd"/>
      <w:r>
        <w:rPr>
          <w:color w:val="292D24"/>
          <w:sz w:val="28"/>
          <w:szCs w:val="28"/>
        </w:rPr>
        <w:t xml:space="preserve"> законодательством РФ не предусмотрены.</w:t>
      </w:r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Предоставление гарантий и компенсаций обусловлено осуществлением работником сдачи крови либо прохождением соответствующего медицинского осмотра, что должно быть подтверждено документально.</w:t>
      </w:r>
    </w:p>
    <w:p w:rsidR="00863CEA" w:rsidRDefault="00863CEA" w:rsidP="00863CEA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Помощник прокурора Беловского района                                    К.С. Олейник</w:t>
      </w:r>
    </w:p>
    <w:p w:rsidR="00BA313B" w:rsidRPr="00863CEA" w:rsidRDefault="00BA313B" w:rsidP="00863CEA"/>
    <w:sectPr w:rsidR="00BA313B" w:rsidRPr="00863CE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6AF1-4EBC-4C40-AFC5-C67C1B1E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1188</cp:revision>
  <cp:lastPrinted>2020-01-20T13:02:00Z</cp:lastPrinted>
  <dcterms:created xsi:type="dcterms:W3CDTF">2020-01-17T12:11:00Z</dcterms:created>
  <dcterms:modified xsi:type="dcterms:W3CDTF">2023-11-17T19:03:00Z</dcterms:modified>
</cp:coreProperties>
</file>