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08" w:rsidRDefault="006C7308" w:rsidP="006C7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Возможно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ли получить покупателю налоговый вычет, если квартира принадлежит продавцу менее трех лет?</w:t>
      </w:r>
    </w:p>
    <w:p w:rsidR="006C7308" w:rsidRDefault="006C7308" w:rsidP="006C7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Имущественный налоговый вычет на приобретение недвижимости предоставляется в соответствии с </w:t>
      </w:r>
      <w:proofErr w:type="spellStart"/>
      <w:r>
        <w:rPr>
          <w:rFonts w:ascii="Verdana" w:hAnsi="Verdana"/>
          <w:color w:val="292D24"/>
          <w:sz w:val="20"/>
          <w:szCs w:val="20"/>
        </w:rPr>
        <w:t>пп</w:t>
      </w:r>
      <w:proofErr w:type="spellEnd"/>
      <w:r>
        <w:rPr>
          <w:rFonts w:ascii="Verdana" w:hAnsi="Verdana"/>
          <w:color w:val="292D24"/>
          <w:sz w:val="20"/>
          <w:szCs w:val="20"/>
        </w:rPr>
        <w:t>. 3 п. 1 ст. 220 Налогового кодекса РФ 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домов, квартир, комнат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доли (долей) в них, на которых расположены приобретаемые жилые дома или доля (доли) в них.</w:t>
      </w:r>
    </w:p>
    <w:p w:rsidR="006C7308" w:rsidRDefault="006C7308" w:rsidP="006C7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 ограничений, связанных с периодом владения указанной квартирой ее продавцом (т.е. иным налогоплательщиком), налоговым законодательством не устанавливается. Соответственно, покупатель при соблюдении установленных НК РФ условий (наличие подтверждающих документов, подача декларации и т.п.) вправе рассчитывать на получение такого имущественного налогового вычета.</w:t>
      </w:r>
    </w:p>
    <w:p w:rsidR="006C7308" w:rsidRDefault="006C7308" w:rsidP="006C7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                                                                         Зубков И.И.</w:t>
      </w:r>
    </w:p>
    <w:p w:rsidR="00BA313B" w:rsidRPr="006C7308" w:rsidRDefault="00BA313B" w:rsidP="006C7308"/>
    <w:sectPr w:rsidR="00BA313B" w:rsidRPr="006C730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C212-F063-47BE-9DB2-6BC8DC9E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1013</cp:revision>
  <cp:lastPrinted>2020-01-20T13:02:00Z</cp:lastPrinted>
  <dcterms:created xsi:type="dcterms:W3CDTF">2020-01-17T12:11:00Z</dcterms:created>
  <dcterms:modified xsi:type="dcterms:W3CDTF">2023-11-17T04:46:00Z</dcterms:modified>
</cp:coreProperties>
</file>