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Правовое регулирование деятельности «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самозанятых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>» граждан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2018 году в законодательстве </w:t>
      </w:r>
      <w:proofErr w:type="spellStart"/>
      <w:r>
        <w:rPr>
          <w:rFonts w:ascii="Verdana" w:hAnsi="Verdana"/>
          <w:color w:val="292D24"/>
          <w:sz w:val="20"/>
          <w:szCs w:val="20"/>
        </w:rPr>
        <w:t>c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введением в действие Федерального закона от 27.11.2018 № 422-ФЗ появились новый специальный налоговый режим «Налог на профессиональный доход» для категории налогоплательщиков - «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самозанятых</w:t>
      </w:r>
      <w:proofErr w:type="spellEnd"/>
      <w:r>
        <w:rPr>
          <w:rFonts w:ascii="Verdana" w:hAnsi="Verdana"/>
          <w:color w:val="292D24"/>
          <w:sz w:val="20"/>
          <w:szCs w:val="20"/>
        </w:rPr>
        <w:t>» граждан, под которыми подразумеваются физические лица и индивидуальные предприниматели, успешно ведущие свое небольшое дело, перешедшие на специальный налоговый режим.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каждое физическое лицо может быть «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самозанятым</w:t>
      </w:r>
      <w:proofErr w:type="spellEnd"/>
      <w:r>
        <w:rPr>
          <w:rFonts w:ascii="Verdana" w:hAnsi="Verdana"/>
          <w:color w:val="292D24"/>
          <w:sz w:val="20"/>
          <w:szCs w:val="20"/>
        </w:rPr>
        <w:t>». К ним не относятся: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лица, осуществляющие реализацию подакцизных товаров и товаров, подлежащих обязательной маркировке средствами идентификации в соответствии с законодательством Российской Федерации;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лица, занимающиеся добычей и (или) реализацией полезных ископаемых;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лица, имеющие работников, с которыми они состоят в трудовых отношениях;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лица, ведущие предпринимательскую деятельность в интересах другого лица на основе договоров поручения, договоров комиссии либо агентских договоров;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лица, оказывающие услуги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контрольно-кассовой техники;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налогоплательщики, у которых доходы, учитываемые при определении налоговой базы, превысили в текущем календарном году 2,4 миллиона рублей.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 могут считаться доходами «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самозанятого</w:t>
      </w:r>
      <w:proofErr w:type="spellEnd"/>
      <w:r>
        <w:rPr>
          <w:rFonts w:ascii="Verdana" w:hAnsi="Verdana"/>
          <w:color w:val="292D24"/>
          <w:sz w:val="20"/>
          <w:szCs w:val="20"/>
        </w:rPr>
        <w:t>»: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</w:t>
      </w:r>
      <w:proofErr w:type="gramStart"/>
      <w:r>
        <w:rPr>
          <w:rFonts w:ascii="Verdana" w:hAnsi="Verdana"/>
          <w:color w:val="292D24"/>
          <w:sz w:val="20"/>
          <w:szCs w:val="20"/>
        </w:rPr>
        <w:t>получаемые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рамках трудовых отношений;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 продажи недвижимого имущества, транспортных средств;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 передачи имущественных прав на недвижимое имущество (за исключением аренды (найма) жилых помещений);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доходы государственных и муниципальных служащих, за исключением доходов от сдачи в аренду (наем) жилых помещений;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 продажи имущества, использовавшегося налогоплательщиками для личных, домашних и (или) иных подобных нужд;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от оказания (выполнения) физическими лицами услуг (работ) по </w:t>
      </w:r>
      <w:proofErr w:type="spellStart"/>
      <w:r>
        <w:rPr>
          <w:rFonts w:ascii="Verdana" w:hAnsi="Verdana"/>
          <w:color w:val="292D24"/>
          <w:sz w:val="20"/>
          <w:szCs w:val="20"/>
        </w:rPr>
        <w:t>гражданскоправовым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от уступки (переуступки) прав требований;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натуральной форме;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от 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деятельностью.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Отдельно обратим внимание, что «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самозанятый</w:t>
      </w:r>
      <w:proofErr w:type="spellEnd"/>
      <w:r>
        <w:rPr>
          <w:rFonts w:ascii="Verdana" w:hAnsi="Verdana"/>
          <w:color w:val="292D24"/>
          <w:sz w:val="20"/>
          <w:szCs w:val="20"/>
        </w:rPr>
        <w:t>» не можете оказывать услуги тем, с кем состоял в трудовых отношениях менее двух лет назад. Появление этой нормы не случайно: бывшие работодатели, чтобы сэкономить на налогах, пытаются перевести своих работников в категорию «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самозанятых</w:t>
      </w:r>
      <w:proofErr w:type="spellEnd"/>
      <w:r>
        <w:rPr>
          <w:rFonts w:ascii="Verdana" w:hAnsi="Verdana"/>
          <w:color w:val="292D24"/>
          <w:sz w:val="20"/>
          <w:szCs w:val="20"/>
        </w:rPr>
        <w:t>», поэтому налоговый орган оценивает длительность и характер возникших правоотношений. Если у «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самозанятого</w:t>
      </w:r>
      <w:proofErr w:type="spellEnd"/>
      <w:r>
        <w:rPr>
          <w:rFonts w:ascii="Verdana" w:hAnsi="Verdana"/>
          <w:color w:val="292D24"/>
          <w:sz w:val="20"/>
          <w:szCs w:val="20"/>
        </w:rPr>
        <w:t>» один клиент и по одному и тому же договору, то возникает вопрос о притворности сделки и доначислении налогов.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Налоговые ставки с дохода «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самозанятых</w:t>
      </w:r>
      <w:proofErr w:type="spellEnd"/>
      <w:r>
        <w:rPr>
          <w:rFonts w:ascii="Verdana" w:hAnsi="Verdana"/>
          <w:color w:val="292D24"/>
          <w:sz w:val="20"/>
          <w:szCs w:val="20"/>
        </w:rPr>
        <w:t>» составляют 4% от реализации товаров (работ, услуг, имущественных прав) физическим лицам; 6% от реализации товаров (работ, услуг, имущественных прав) индивидуальным предпринимателям и организациям. Налог может уменьшаться на l-2% за счет суммы вычетов в зависимости от налогового дохода «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самозанятого</w:t>
      </w:r>
      <w:proofErr w:type="spellEnd"/>
      <w:r>
        <w:rPr>
          <w:rFonts w:ascii="Verdana" w:hAnsi="Verdana"/>
          <w:color w:val="292D24"/>
          <w:sz w:val="20"/>
          <w:szCs w:val="20"/>
        </w:rPr>
        <w:t>».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Законодательство не обязывает «</w:t>
      </w:r>
      <w:proofErr w:type="spellStart"/>
      <w:r>
        <w:rPr>
          <w:rFonts w:ascii="Verdana" w:hAnsi="Verdana"/>
          <w:color w:val="292D24"/>
          <w:sz w:val="20"/>
          <w:szCs w:val="20"/>
        </w:rPr>
        <w:t>самозанятых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 граждан уплачивать   страховые взносы в Пенсионный фонд РФ.  При отсутствии самостоятельной уплаты страховых взносов, пенсионные права и страховой стаж не формируется, таким </w:t>
      </w:r>
      <w:proofErr w:type="gramStart"/>
      <w:r>
        <w:rPr>
          <w:rFonts w:ascii="Verdana" w:hAnsi="Verdana"/>
          <w:color w:val="292D24"/>
          <w:sz w:val="20"/>
          <w:szCs w:val="20"/>
        </w:rPr>
        <w:t>образом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для целей пенсионного обеспечения они считаются неработающими, что влечет правовые последствия, касающиеся выплаты пенсий и отдельных видов социальных выплат.</w:t>
      </w:r>
    </w:p>
    <w:p w:rsidR="00CC7F54" w:rsidRDefault="00CC7F54" w:rsidP="00CC7F5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                        К.С. Олейник</w:t>
      </w:r>
    </w:p>
    <w:p w:rsidR="00BA313B" w:rsidRPr="00CC7F54" w:rsidRDefault="00BA313B" w:rsidP="00CC7F54"/>
    <w:sectPr w:rsidR="00BA313B" w:rsidRPr="00CC7F5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E05C-FCCF-4BD0-B30B-7BFA66FD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950</cp:revision>
  <cp:lastPrinted>2020-01-20T13:02:00Z</cp:lastPrinted>
  <dcterms:created xsi:type="dcterms:W3CDTF">2020-01-17T12:11:00Z</dcterms:created>
  <dcterms:modified xsi:type="dcterms:W3CDTF">2023-11-17T04:15:00Z</dcterms:modified>
</cp:coreProperties>
</file>