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11" w:rsidRDefault="002A3411" w:rsidP="002A34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Введена административная ответственность за нарушение запрета на публичное отождествление СССР и нацистской Германии</w:t>
      </w:r>
    </w:p>
    <w:p w:rsidR="002A3411" w:rsidRDefault="002A3411" w:rsidP="002A34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16.04.2022 № 103-ФЗ Кодекс Российской Федерации об административных правонарушениях дополнен статьей 13.48, предусматривающей административную ответственность за нарушение запрета на публичное отождествление СССР и нацистской Германии.    </w:t>
      </w:r>
    </w:p>
    <w:p w:rsidR="002A3411" w:rsidRDefault="002A3411" w:rsidP="002A34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Отождествление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 в ходе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В</w:t>
      </w:r>
      <w:proofErr w:type="gramEnd"/>
      <w:r>
        <w:rPr>
          <w:rFonts w:ascii="Verdana" w:hAnsi="Verdana"/>
          <w:color w:val="292D24"/>
          <w:sz w:val="20"/>
          <w:szCs w:val="20"/>
        </w:rPr>
        <w:t>торой мировой войны, а также отрицание решающей роли советского народа в разгроме нацистской Германии и гуманитарной миссии СССР при освобождении стран Европы влечет  административную ответственность в виде штрафа: для граждан – в размере от 1 до 2 тыс. рублей либо административного ареста на срок до 15 суток; для должностных лиц – от 2 до 4 тыс. рублей; для юридических лиц – от 10 до 50 тыс. рублей.</w:t>
      </w:r>
    </w:p>
    <w:p w:rsidR="002A3411" w:rsidRDefault="002A3411" w:rsidP="002A34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повторное совершение указанного правонарушения предусмотрены увеличенные размеры штрафных санкций, а также дисквалификация для должностных лиц и административное приостановление деятельности для юридических лиц.</w:t>
      </w:r>
    </w:p>
    <w:p w:rsidR="002A3411" w:rsidRDefault="002A3411" w:rsidP="002A341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        К.С. Олейник</w:t>
      </w:r>
    </w:p>
    <w:p w:rsidR="00BA313B" w:rsidRPr="002A3411" w:rsidRDefault="00BA313B" w:rsidP="002A3411"/>
    <w:sectPr w:rsidR="00BA313B" w:rsidRPr="002A341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6C59-5F49-4E3F-A488-B2666307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842</cp:revision>
  <cp:lastPrinted>2020-01-20T13:02:00Z</cp:lastPrinted>
  <dcterms:created xsi:type="dcterms:W3CDTF">2020-01-17T12:11:00Z</dcterms:created>
  <dcterms:modified xsi:type="dcterms:W3CDTF">2023-11-16T18:34:00Z</dcterms:modified>
</cp:coreProperties>
</file>