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47" w:rsidRDefault="00581247" w:rsidP="00581247">
      <w:pPr>
        <w:pStyle w:val="2"/>
        <w:shd w:val="clear" w:color="auto" w:fill="F8FAFB"/>
        <w:spacing w:before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"https://admkoros.ru/spravochnye-materialy/1288-kadastrovaya-palata-vnesla-granitsy-okhotnichikh-ugodij-v-reestr-nedvizhimosti"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b"/>
          <w:rFonts w:ascii="Palatino Linotype" w:hAnsi="Palatino Linotype"/>
          <w:b w:val="0"/>
          <w:bCs w:val="0"/>
          <w:color w:val="98A48E"/>
        </w:rPr>
        <w:t>Кадастровая палата внесла границы охотничьих угодий в реестр недвижимости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581247" w:rsidRDefault="00581247" w:rsidP="00581247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Fonts w:ascii="Verdana" w:hAnsi="Verdana"/>
          <w:color w:val="819075"/>
          <w:sz w:val="20"/>
          <w:szCs w:val="20"/>
        </w:rPr>
        <w:t>Просмотров: 1057</w:t>
      </w:r>
    </w:p>
    <w:p w:rsidR="00581247" w:rsidRDefault="00581247" w:rsidP="00581247">
      <w:pPr>
        <w:pStyle w:val="a9"/>
        <w:shd w:val="clear" w:color="auto" w:fill="F8FAFB"/>
        <w:spacing w:before="120" w:beforeAutospacing="0" w:after="120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Кадастровая палата внесла границы охотничьих угодий в реестр недвижимости</w:t>
      </w:r>
    </w:p>
    <w:p w:rsidR="00581247" w:rsidRDefault="00581247" w:rsidP="00581247">
      <w:pPr>
        <w:pStyle w:val="a9"/>
        <w:shd w:val="clear" w:color="auto" w:fill="F8FAFB"/>
        <w:spacing w:before="120" w:beforeAutospacing="0" w:after="120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 xml:space="preserve">Кадастровая палата Курской области внесла в Единый государственный реестр недвижимости (ЕГРН) сведения о 14 границах охотничьих угодий, которые расположены на территориях Беловского, </w:t>
      </w:r>
      <w:proofErr w:type="spellStart"/>
      <w:r>
        <w:rPr>
          <w:color w:val="000000"/>
          <w:sz w:val="28"/>
          <w:szCs w:val="28"/>
        </w:rPr>
        <w:t>Глушковского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Горшеченского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Золотухинского</w:t>
      </w:r>
      <w:proofErr w:type="spellEnd"/>
      <w:r>
        <w:rPr>
          <w:color w:val="000000"/>
          <w:sz w:val="28"/>
          <w:szCs w:val="28"/>
        </w:rPr>
        <w:t xml:space="preserve">, Курского и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районов Курской области.</w:t>
      </w:r>
    </w:p>
    <w:p w:rsidR="00581247" w:rsidRDefault="00581247" w:rsidP="00581247">
      <w:pPr>
        <w:pStyle w:val="a9"/>
        <w:shd w:val="clear" w:color="auto" w:fill="F8FAFB"/>
        <w:spacing w:before="120" w:beforeAutospacing="0" w:after="120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Охотничьи угодья относятся к зонам с особыми условиями использования территорий. На сегодняшний день в ЕГРН содержатся сведения о границах 105 охотничьих угодий Курской области.</w:t>
      </w:r>
    </w:p>
    <w:p w:rsidR="00581247" w:rsidRDefault="00581247" w:rsidP="00581247">
      <w:pPr>
        <w:pStyle w:val="a9"/>
        <w:shd w:val="clear" w:color="auto" w:fill="F8FAFB"/>
        <w:spacing w:before="0" w:beforeAutospacing="0" w:after="0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Границы охотничьих угодий устанавливаются в целях обеспечения рационального использования и сохранения охотничьих ресурсов, осуществления видов деятельности в сфере охотничьего хозяйства. Сведения о границах охотничьих угодий отображаются на </w:t>
      </w:r>
      <w:hyperlink r:id="rId6" w:history="1">
        <w:r>
          <w:rPr>
            <w:rStyle w:val="ab"/>
            <w:color w:val="000000"/>
            <w:sz w:val="28"/>
            <w:szCs w:val="28"/>
          </w:rPr>
          <w:t>Публичной кадастровой карте</w:t>
        </w:r>
      </w:hyperlink>
      <w:r>
        <w:rPr>
          <w:color w:val="000000"/>
          <w:sz w:val="28"/>
          <w:szCs w:val="28"/>
        </w:rPr>
        <w:t>.</w:t>
      </w:r>
    </w:p>
    <w:p w:rsidR="00BA313B" w:rsidRPr="00581247" w:rsidRDefault="00BA313B" w:rsidP="00581247"/>
    <w:sectPr w:rsidR="00BA313B" w:rsidRPr="0058124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C6E22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383E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E6F06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CF3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24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05146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1B5E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50B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2D13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07CE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0B48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6EE8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21B"/>
    <w:rsid w:val="00B046FE"/>
    <w:rsid w:val="00B04745"/>
    <w:rsid w:val="00B05B7F"/>
    <w:rsid w:val="00B06E80"/>
    <w:rsid w:val="00B07995"/>
    <w:rsid w:val="00B13E0A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3610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05A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6A3C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2441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1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kk5.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D08D-D0B7-43D1-8905-BDC9F643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1464</cp:revision>
  <cp:lastPrinted>2020-01-20T13:02:00Z</cp:lastPrinted>
  <dcterms:created xsi:type="dcterms:W3CDTF">2020-01-17T12:11:00Z</dcterms:created>
  <dcterms:modified xsi:type="dcterms:W3CDTF">2023-11-18T15:28:00Z</dcterms:modified>
</cp:coreProperties>
</file>