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CE" w:rsidRDefault="008E07CE" w:rsidP="008E07CE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Меры по противодействию коррупции</w:t>
      </w:r>
    </w:p>
    <w:p w:rsidR="008E07CE" w:rsidRDefault="008E07CE" w:rsidP="008E07CE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в Управлении </w:t>
      </w:r>
      <w:proofErr w:type="spellStart"/>
      <w:r>
        <w:rPr>
          <w:rFonts w:ascii="Verdana" w:hAnsi="Verdana"/>
          <w:color w:val="292D24"/>
          <w:sz w:val="28"/>
          <w:szCs w:val="28"/>
        </w:rPr>
        <w:t>Росреестра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по Курской области</w:t>
      </w:r>
    </w:p>
    <w:p w:rsidR="008E07CE" w:rsidRDefault="008E07CE" w:rsidP="008E07CE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Одним из главных направлений государственной политики является противодействие коррупции, что подтверждается большим количеством нормативных актов в данной сфере, направленных на предупреждение, пресечение и искоренение коррупции. Профилактика коррупционных правонарушений и борьба с выявленными проступками коррупционного характера является приоритетом в деятельности государства и </w:t>
      </w:r>
      <w:proofErr w:type="spellStart"/>
      <w:r>
        <w:rPr>
          <w:rFonts w:ascii="Verdana" w:hAnsi="Verdana"/>
          <w:color w:val="292D24"/>
          <w:sz w:val="28"/>
          <w:szCs w:val="28"/>
        </w:rPr>
        <w:t>Росреестра</w:t>
      </w:r>
      <w:proofErr w:type="spellEnd"/>
      <w:r>
        <w:rPr>
          <w:rFonts w:ascii="Verdana" w:hAnsi="Verdana"/>
          <w:color w:val="292D24"/>
          <w:sz w:val="28"/>
          <w:szCs w:val="28"/>
        </w:rPr>
        <w:t>.</w:t>
      </w:r>
    </w:p>
    <w:p w:rsidR="008E07CE" w:rsidRDefault="008E07CE" w:rsidP="008E07CE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Для эффективного решения вопросов противодействия коррупции и устранения порождающих её условий в Управлении </w:t>
      </w:r>
      <w:proofErr w:type="spellStart"/>
      <w:r>
        <w:rPr>
          <w:rFonts w:ascii="Verdana" w:hAnsi="Verdana"/>
          <w:color w:val="000000"/>
          <w:sz w:val="28"/>
          <w:szCs w:val="28"/>
        </w:rPr>
        <w:t>Росреестра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по Курской области разработан план мероприятий, основной задачей которого остается обеспечение прозрачности деятельности Управления, сокращение административных барьеров, упрощение процедур при оказании государственных услуг, привлечение граждан к общественному контролю, а также решение кадровых вопросов и другое.</w:t>
      </w:r>
    </w:p>
    <w:p w:rsidR="008E07CE" w:rsidRDefault="008E07CE" w:rsidP="008E07CE">
      <w:pPr>
        <w:pStyle w:val="a9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Управлением предпринимаются меры по минимизации личного общения должностных лиц с гражданами при осуществлении полномочий в целях снижения коррупционных рисков и минимизации влияния «человеческого фактора». Внедрение </w:t>
      </w:r>
      <w:proofErr w:type="spellStart"/>
      <w:r>
        <w:rPr>
          <w:rFonts w:ascii="Verdana" w:hAnsi="Verdana"/>
          <w:color w:val="000000"/>
          <w:sz w:val="28"/>
          <w:szCs w:val="28"/>
        </w:rPr>
        <w:t>Росреестром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бесконтактных технологий, к которым относятся такие электронные сервисы как: «Личный кабинет правообладателя», «Получение сведений ЕГРН», «Государственная регистрация прав», «Государственный кадастровый учет», «Публичная кадастровая карта», «Справочная информация по объектам недвижимости в режиме </w:t>
      </w:r>
      <w:proofErr w:type="spellStart"/>
      <w:r>
        <w:rPr>
          <w:rFonts w:ascii="Verdana" w:hAnsi="Verdana"/>
          <w:color w:val="000000"/>
          <w:sz w:val="28"/>
          <w:szCs w:val="28"/>
        </w:rPr>
        <w:t>online</w:t>
      </w:r>
      <w:proofErr w:type="spellEnd"/>
      <w:r>
        <w:rPr>
          <w:rFonts w:ascii="Verdana" w:hAnsi="Verdana"/>
          <w:color w:val="000000"/>
          <w:sz w:val="28"/>
          <w:szCs w:val="28"/>
        </w:rPr>
        <w:t>» и другие, позволяет полностью исключить непосредственное взаимодействие заявителей с государственными служащими и является наиболее действенным способом минимизации коррупционных рисков.</w:t>
      </w:r>
    </w:p>
    <w:p w:rsidR="008E07CE" w:rsidRDefault="008E07CE" w:rsidP="008E07CE">
      <w:pPr>
        <w:pStyle w:val="a9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Другим механизмом минимизации непосредственного взаимодействия заявителей с сотрудниками Управления является предоставление государственных услуг </w:t>
      </w:r>
      <w:proofErr w:type="spellStart"/>
      <w:r>
        <w:rPr>
          <w:rFonts w:ascii="Verdana" w:hAnsi="Verdana"/>
          <w:color w:val="000000"/>
          <w:sz w:val="28"/>
          <w:szCs w:val="28"/>
        </w:rPr>
        <w:t>Росреестра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на базе многофункциональных центров. </w:t>
      </w:r>
      <w:proofErr w:type="gramStart"/>
      <w:r>
        <w:rPr>
          <w:rFonts w:ascii="Verdana" w:hAnsi="Verdana"/>
          <w:color w:val="000000"/>
          <w:sz w:val="28"/>
          <w:szCs w:val="28"/>
        </w:rPr>
        <w:t xml:space="preserve">На сегодняшний день в Курской области действуют 32 многофункциональных центра, во всех из них предоставляются услуги </w:t>
      </w:r>
      <w:proofErr w:type="spellStart"/>
      <w:r>
        <w:rPr>
          <w:rFonts w:ascii="Verdana" w:hAnsi="Verdana"/>
          <w:color w:val="000000"/>
          <w:sz w:val="28"/>
          <w:szCs w:val="28"/>
        </w:rPr>
        <w:t>Росреестра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  <w:proofErr w:type="gramEnd"/>
    </w:p>
    <w:p w:rsidR="008E07CE" w:rsidRDefault="008E07CE" w:rsidP="008E07CE">
      <w:pPr>
        <w:pStyle w:val="a9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 xml:space="preserve">Одной из приоритетных задач плана по противодействию коррупции в Управлении является повышение эффективности мероприятий, направленных на формирование </w:t>
      </w:r>
      <w:proofErr w:type="spellStart"/>
      <w:r>
        <w:rPr>
          <w:rFonts w:ascii="Verdana" w:hAnsi="Verdana"/>
          <w:color w:val="292D24"/>
          <w:sz w:val="28"/>
          <w:szCs w:val="28"/>
        </w:rPr>
        <w:t>антикоррупционного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поведения государственных гражданских служащих Управления. Действенной мерой по недопущению коррупционных правонарушений является ежедневная профилактика, а также обеспечение соблюдения государственными служащими ограничений, запретов и требований к служебному поведению государственных служащих и урегулированию конфликта интересов.                       В рамках профилактики ответственными должностными лицами Управления регулярно проводятся разъяснительные мероприятия с государственными гражданскими служащими - учебные занятия, круглые столы, оказывается консультативная помощь и др.</w:t>
      </w:r>
    </w:p>
    <w:p w:rsidR="008E07CE" w:rsidRDefault="008E07CE" w:rsidP="008E07CE">
      <w:pPr>
        <w:pStyle w:val="a9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Действенной мерой профилактики является декларирование доходов государственных гражданских служащих Управления. Данная профилактика является психологически сдерживающим фактором для государственных служащих, так как сведения, представленные ими в справках о доходах, расходах, об имуществе и обязательствах имущественного характера, могут быть официально проверены и в дальнейшем применены меры воздействия в соответствии с действующим законодательством. При проведении таких проверок особое внимание уделяется  анализу соответствия расходов гражданских служащих их доходам.</w:t>
      </w:r>
    </w:p>
    <w:p w:rsidR="008E07CE" w:rsidRDefault="008E07CE" w:rsidP="008E07CE">
      <w:pPr>
        <w:pStyle w:val="a9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В Управлении действует Комиссия по соблюдению требований к служебному поведению государственных гражданских служащих и урегулированию конфликта интересов. В целях принятия объективных и независимых решений обязательное участие в заседаниях Комиссии принимают независимые эксперты (представители высших учебных заведений и Общественного совета, созданного при Управлении). В 2019 году проведено 10 заседаний Комиссии. Информация о проводимых заседаниях Комиссии и принятых решениях размещается в блоке региональной информации интернет-сайта </w:t>
      </w:r>
      <w:proofErr w:type="spellStart"/>
      <w:r>
        <w:rPr>
          <w:rFonts w:ascii="Verdana" w:hAnsi="Verdana"/>
          <w:color w:val="292D24"/>
          <w:sz w:val="28"/>
          <w:szCs w:val="28"/>
        </w:rPr>
        <w:t>Росреестра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и доступна для граждан.</w:t>
      </w:r>
    </w:p>
    <w:p w:rsidR="008E07CE" w:rsidRDefault="008E07CE" w:rsidP="008E07C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Гражданам и юридическим лицам предоставлены различные возможности по доведению до руководства Управления фактов коррупционных проявлений сотрудников </w:t>
      </w:r>
      <w:r>
        <w:rPr>
          <w:rFonts w:ascii="Verdana" w:hAnsi="Verdana"/>
          <w:color w:val="292D24"/>
          <w:sz w:val="28"/>
          <w:szCs w:val="28"/>
        </w:rPr>
        <w:lastRenderedPageBreak/>
        <w:t xml:space="preserve">Управления, если такие имели место. На сайте </w:t>
      </w:r>
      <w:proofErr w:type="spellStart"/>
      <w:r>
        <w:rPr>
          <w:rFonts w:ascii="Verdana" w:hAnsi="Verdana"/>
          <w:color w:val="292D24"/>
          <w:sz w:val="28"/>
          <w:szCs w:val="28"/>
        </w:rPr>
        <w:t>Росреестра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имеется специальный раздел «Противодействие коррупции», где в подразделе «Обратная связь для сообщений о фактах коррупции» граждане могут заполнить форму обращения в электронном виде. В этих же целях в Управлении функционирует </w:t>
      </w:r>
      <w:r>
        <w:rPr>
          <w:rFonts w:ascii="Verdana" w:hAnsi="Verdana"/>
          <w:color w:val="000000"/>
          <w:sz w:val="28"/>
          <w:szCs w:val="28"/>
        </w:rPr>
        <w:t>«телефон доверия» и электронный почтовый ящик.</w:t>
      </w:r>
      <w:r>
        <w:rPr>
          <w:rFonts w:ascii="Verdana" w:hAnsi="Verdana"/>
          <w:color w:val="292D24"/>
          <w:sz w:val="28"/>
          <w:szCs w:val="28"/>
        </w:rPr>
        <w:t> Сообщения о нарушениях в сфере деятельности Управления по фактам коррупции можно оставить, позвонив на «Телефон доверия» Управления: (</w:t>
      </w:r>
      <w:r>
        <w:rPr>
          <w:rFonts w:ascii="Verdana" w:hAnsi="Verdana"/>
          <w:color w:val="000000"/>
          <w:sz w:val="28"/>
          <w:szCs w:val="28"/>
        </w:rPr>
        <w:t>4712) 54–60–53</w:t>
      </w:r>
      <w:r>
        <w:rPr>
          <w:rFonts w:ascii="Verdana" w:hAnsi="Verdana"/>
          <w:color w:val="292D24"/>
          <w:sz w:val="28"/>
          <w:szCs w:val="28"/>
        </w:rPr>
        <w:t> или </w:t>
      </w:r>
      <w:r>
        <w:rPr>
          <w:rFonts w:ascii="Verdana" w:hAnsi="Verdana"/>
          <w:color w:val="000000"/>
          <w:sz w:val="28"/>
          <w:szCs w:val="28"/>
        </w:rPr>
        <w:t>направив</w:t>
      </w:r>
      <w:r>
        <w:rPr>
          <w:rFonts w:ascii="Verdana" w:hAnsi="Verdana"/>
          <w:color w:val="292D24"/>
          <w:sz w:val="28"/>
          <w:szCs w:val="28"/>
        </w:rPr>
        <w:t> по электронному адресу: </w:t>
      </w:r>
      <w:hyperlink r:id="rId6" w:history="1">
        <w:r>
          <w:rPr>
            <w:rStyle w:val="ab"/>
            <w:rFonts w:ascii="Verdana" w:hAnsi="Verdana"/>
            <w:color w:val="7D7D7D"/>
            <w:sz w:val="28"/>
            <w:szCs w:val="28"/>
            <w:shd w:val="clear" w:color="auto" w:fill="FFFFFF"/>
          </w:rPr>
          <w:t>anticor@r46.rosreestr.ru</w:t>
        </w:r>
      </w:hyperlink>
      <w:r>
        <w:rPr>
          <w:rFonts w:ascii="Verdana" w:hAnsi="Verdana"/>
          <w:color w:val="292D24"/>
          <w:sz w:val="28"/>
          <w:szCs w:val="28"/>
        </w:rPr>
        <w:t>.</w:t>
      </w:r>
    </w:p>
    <w:p w:rsidR="00BA313B" w:rsidRPr="008E07CE" w:rsidRDefault="00BA313B" w:rsidP="008E07CE"/>
    <w:sectPr w:rsidR="00BA313B" w:rsidRPr="008E07C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383E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E6F06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CF3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3F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05146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50B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07CE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21B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039D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icor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3E89C-85F7-4AF3-A819-EC698B2B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9292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1453</cp:revision>
  <cp:lastPrinted>2020-01-20T13:02:00Z</cp:lastPrinted>
  <dcterms:created xsi:type="dcterms:W3CDTF">2020-01-17T12:11:00Z</dcterms:created>
  <dcterms:modified xsi:type="dcterms:W3CDTF">2023-11-18T15:03:00Z</dcterms:modified>
</cp:coreProperties>
</file>