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7402"/>
      </w:tblGrid>
      <w:tr w:rsidR="00312866" w:rsidTr="0031286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2866" w:rsidRDefault="0031286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2866" w:rsidRDefault="0031286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 Курской области выдали более        2 тысяч льготных ипотек</w:t>
            </w:r>
          </w:p>
        </w:tc>
      </w:tr>
    </w:tbl>
    <w:p w:rsidR="00312866" w:rsidRDefault="00312866" w:rsidP="003128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В Курской области льготная ипотека пользуется спросом: региональное 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зарегистрировало уже более двух тысяч льготных ипотек.</w:t>
      </w:r>
    </w:p>
    <w:p w:rsidR="00312866" w:rsidRDefault="00312866" w:rsidP="003128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        «За время действия госпрограммы Курский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оформил 2102 ипотеки (по состоянию на 01.11.2021г.). Их них преимущественная доля договоров — около 1,4 тыс.— приходится на участие в долевом строительстве,7 — договоры уступки права требования, 705  — договоры купли-продажи», - </w:t>
      </w:r>
      <w:r>
        <w:rPr>
          <w:rFonts w:ascii="Verdana" w:hAnsi="Verdana"/>
          <w:color w:val="292D24"/>
          <w:sz w:val="20"/>
          <w:szCs w:val="20"/>
        </w:rPr>
        <w:t xml:space="preserve">поделилась статистикой </w:t>
      </w:r>
      <w:proofErr w:type="spellStart"/>
      <w:r>
        <w:rPr>
          <w:rFonts w:ascii="Verdana" w:hAnsi="Verdana"/>
          <w:color w:val="292D24"/>
          <w:sz w:val="20"/>
          <w:szCs w:val="20"/>
        </w:rPr>
        <w:t>замруководителя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Анна Стрекалова.</w:t>
      </w:r>
    </w:p>
    <w:p w:rsidR="00312866" w:rsidRDefault="00312866" w:rsidP="003128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Важно отметить, что действие льготной ипотеки продляется до 1 июля 2022 года, а также расширяются условия её действия. Теперь льготную ипотеку можно взять максимум под 7% </w:t>
      </w:r>
      <w:proofErr w:type="gramStart"/>
      <w:r>
        <w:rPr>
          <w:rFonts w:ascii="Verdana" w:hAnsi="Verdana"/>
          <w:color w:val="292D24"/>
          <w:sz w:val="20"/>
          <w:szCs w:val="20"/>
        </w:rPr>
        <w:t>годовых</w:t>
      </w:r>
      <w:proofErr w:type="gramEnd"/>
      <w:r>
        <w:rPr>
          <w:rFonts w:ascii="Verdana" w:hAnsi="Verdana"/>
          <w:color w:val="292D24"/>
          <w:sz w:val="20"/>
          <w:szCs w:val="20"/>
        </w:rPr>
        <w:t>. При этом первоначальный взнос должен составлять не менее 15% стоимости жилья. Кроме того, в октябре правительство РФ расширило условия действия государственной программы. Теперь льготную ипотеку можно взять для строительства частных домов.</w:t>
      </w:r>
    </w:p>
    <w:p w:rsidR="00312866" w:rsidRDefault="00312866" w:rsidP="003128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Напомним, что программа льготной ипотеки доступна для всех граждан России, не содержит требований к возрасту, семейному или имущественному положению участников. При этом такие условия могут установить сами кредитные организации. В рамках </w:t>
      </w:r>
      <w:proofErr w:type="gramStart"/>
      <w:r>
        <w:rPr>
          <w:rFonts w:ascii="Verdana" w:hAnsi="Verdana"/>
          <w:color w:val="292D24"/>
          <w:sz w:val="20"/>
          <w:szCs w:val="20"/>
        </w:rPr>
        <w:t>программы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возможно приобрести как строящееся, так и готовое жилье в любом регионе страны. Льготная ставка действует на протяжении всего срока кредита.</w:t>
      </w:r>
    </w:p>
    <w:p w:rsidR="00312866" w:rsidRDefault="00312866" w:rsidP="003128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312866" w:rsidRDefault="00312866" w:rsidP="003128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312866" w:rsidRDefault="00312866" w:rsidP="003128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312866" w:rsidRDefault="00312866" w:rsidP="003128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312866" w:rsidRDefault="00312866" w:rsidP="00312866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312866" w:rsidRDefault="00312866" w:rsidP="00312866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312866" w:rsidRDefault="00BA313B" w:rsidP="00312866"/>
    <w:sectPr w:rsidR="00BA313B" w:rsidRPr="0031286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607B8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11E5-D9F2-4BC2-9F69-F81CBEC7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1341</cp:revision>
  <cp:lastPrinted>2020-01-20T13:02:00Z</cp:lastPrinted>
  <dcterms:created xsi:type="dcterms:W3CDTF">2020-01-17T12:11:00Z</dcterms:created>
  <dcterms:modified xsi:type="dcterms:W3CDTF">2023-11-18T13:42:00Z</dcterms:modified>
</cp:coreProperties>
</file>