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EF2D2C" w:rsidTr="00EF2D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 СЕЛЬСОВЕТА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БЕЛОВСКОГО РАЙОНА КУРСКОЙ ОБЛАСТИ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РАСПОРЯЖЕНИЕ</w:t>
            </w:r>
          </w:p>
          <w:p w:rsidR="00EF2D2C" w:rsidRDefault="00EF2D2C">
            <w:pPr>
              <w:pStyle w:val="3"/>
              <w:spacing w:before="150" w:line="360" w:lineRule="atLeast"/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</w:pPr>
            <w:r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  <w:t>«14» сентября 2021 г.                                                                           №51</w:t>
            </w:r>
          </w:p>
          <w:p w:rsidR="00EF2D2C" w:rsidRDefault="00EF2D2C">
            <w:pPr>
              <w:pStyle w:val="3"/>
              <w:spacing w:before="150" w:line="360" w:lineRule="atLeast"/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</w:pPr>
            <w:r>
              <w:rPr>
                <w:rFonts w:ascii="Palatino Linotype" w:hAnsi="Palatino Linotype"/>
                <w:b w:val="0"/>
                <w:bCs w:val="0"/>
                <w:color w:val="7C8A6F"/>
                <w:sz w:val="30"/>
                <w:szCs w:val="30"/>
              </w:rPr>
              <w:t> </w:t>
            </w:r>
          </w:p>
          <w:p w:rsidR="00EF2D2C" w:rsidRDefault="00EF2D2C">
            <w:pPr>
              <w:pStyle w:val="4"/>
              <w:spacing w:before="150" w:line="324" w:lineRule="atLeast"/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</w:pPr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Об утверждении методики прогнозирования налоговых и неналоговых доходов бюджета муниципального образования «</w:t>
            </w:r>
            <w:proofErr w:type="spellStart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Корочанский</w:t>
            </w:r>
            <w:proofErr w:type="spellEnd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 xml:space="preserve"> сельсовет» Беловского района Курской области на 2022-2024 годы. </w:t>
            </w:r>
          </w:p>
          <w:p w:rsidR="00EF2D2C" w:rsidRDefault="00EF2D2C">
            <w:pPr>
              <w:pStyle w:val="4"/>
              <w:spacing w:before="150" w:line="324" w:lineRule="atLeast"/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</w:pPr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В целях повышения качества бюджетного процесса и обеспечения сбалансированности и устойчивости местного бюджета.</w:t>
            </w:r>
          </w:p>
          <w:p w:rsidR="00EF2D2C" w:rsidRDefault="00EF2D2C">
            <w:pPr>
              <w:pStyle w:val="4"/>
              <w:spacing w:before="150" w:line="324" w:lineRule="atLeast"/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</w:pPr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 </w:t>
            </w:r>
          </w:p>
          <w:p w:rsidR="00EF2D2C" w:rsidRDefault="00EF2D2C">
            <w:pPr>
              <w:pStyle w:val="4"/>
              <w:spacing w:before="150" w:line="324" w:lineRule="atLeast"/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</w:pPr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1.Утвердить прилагаемую методику прогнозирования налоговых и неналоговых доходов бюджета  муниципального образования «</w:t>
            </w:r>
            <w:proofErr w:type="spellStart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Корочанский</w:t>
            </w:r>
            <w:proofErr w:type="spellEnd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 xml:space="preserve"> сельсовет» Беловского района Курской области на 2022-2024 годы. </w:t>
            </w:r>
          </w:p>
          <w:p w:rsidR="00EF2D2C" w:rsidRDefault="00EF2D2C">
            <w:pPr>
              <w:pStyle w:val="4"/>
              <w:spacing w:before="150" w:line="324" w:lineRule="atLeast"/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</w:pPr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 xml:space="preserve">2. </w:t>
            </w:r>
            <w:proofErr w:type="gramStart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Контроль за</w:t>
            </w:r>
            <w:proofErr w:type="gramEnd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 xml:space="preserve"> исполнением  данного распоряжения возложить на начальника отдела </w:t>
            </w:r>
            <w:proofErr w:type="spellStart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>администрации-Кручинову</w:t>
            </w:r>
            <w:proofErr w:type="spellEnd"/>
            <w:r>
              <w:rPr>
                <w:rFonts w:ascii="Palatino Linotype" w:hAnsi="Palatino Linotype"/>
                <w:b w:val="0"/>
                <w:bCs/>
                <w:color w:val="521400"/>
                <w:sz w:val="27"/>
                <w:szCs w:val="27"/>
              </w:rPr>
              <w:t xml:space="preserve"> Галину Сергеевну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           3. Распоряжение  вступает в силу со дня его подписания.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сельсовета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Беловского района                                                         М.И.Звягинцева</w:t>
            </w:r>
          </w:p>
          <w:p w:rsidR="00EF2D2C" w:rsidRDefault="00EF2D2C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                                                                      </w:t>
            </w:r>
          </w:p>
        </w:tc>
      </w:tr>
    </w:tbl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Утверждена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Распоряжением Администрации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 Курской области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14.09.2021 №51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Методика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прогнозирования налоговых и неналоговых доходов местного бюджета муниципального образования на 2022 год и на плановый период 2023 и 2024 годов.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Доходная база консолидированного бюджета области на 2022 – 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Налог на доходы физических лиц (код 1 01 02000 01 0000 110)</w:t>
      </w:r>
    </w:p>
    <w:p w:rsidR="00EF2D2C" w:rsidRDefault="00EF2D2C" w:rsidP="00EF2D2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статьями 227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227.1</w:t>
        </w:r>
      </w:hyperlink>
      <w:r>
        <w:rPr>
          <w:rFonts w:ascii="Verdana" w:hAnsi="Verdana"/>
          <w:color w:val="292D24"/>
          <w:sz w:val="20"/>
          <w:szCs w:val="20"/>
        </w:rPr>
        <w:t> и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228</w:t>
        </w:r>
      </w:hyperlink>
      <w:r>
        <w:rPr>
          <w:rFonts w:ascii="Verdana" w:hAnsi="Verdana"/>
          <w:color w:val="292D24"/>
          <w:sz w:val="20"/>
          <w:szCs w:val="20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  <w:proofErr w:type="gramEnd"/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Прогнозируемая сумма поступления налога на 2023 – 2024 годы также рассчитывается по двум вариантам и принимается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средний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из них.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Второй вариант – сумма налога на 2023 – 2024 годы определяется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:rsidR="00EF2D2C" w:rsidRDefault="00EF2D2C" w:rsidP="00EF2D2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227</w:t>
        </w:r>
      </w:hyperlink>
      <w:r>
        <w:rPr>
          <w:rFonts w:ascii="Verdana" w:hAnsi="Verdana"/>
          <w:color w:val="292D24"/>
          <w:sz w:val="20"/>
          <w:szCs w:val="20"/>
        </w:rPr>
        <w:t> Налогового кодекса Российской Федерации, (код 1 01 02020 01 0000 110) рассчитывается исходя из ожидаемого поступления налога в 2021 году, скорректированного на ежегодные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темпы роста (снижения) фонда заработной платы в 2022 – 2024 годах.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EF2D2C" w:rsidRDefault="00EF2D2C" w:rsidP="00EF2D2C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Прогноз поступлений налога на доходы физических лиц с доходов, полученных физическими лицами в соответствии со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228</w:t>
        </w:r>
      </w:hyperlink>
      <w:r>
        <w:rPr>
          <w:rFonts w:ascii="Verdana" w:hAnsi="Verdana"/>
          <w:color w:val="292D24"/>
          <w:sz w:val="20"/>
          <w:szCs w:val="20"/>
        </w:rPr>
        <w:t> Налогового кодекса Российской Федерации (код 1 01 02030 01 0000 110) в 2022 – 2024 годах определяется на уровне ожидаемого поступления налога в 2021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налога в 2021 году определяется на уровне фактического поступления налога в 2020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равным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нулю.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Единый сельскохозяйственный налог</w:t>
      </w:r>
      <w:r>
        <w:rPr>
          <w:rFonts w:ascii="Verdana" w:hAnsi="Verdana"/>
          <w:color w:val="292D24"/>
          <w:sz w:val="20"/>
          <w:szCs w:val="20"/>
        </w:rPr>
        <w:t> (код 1 05 03010 01 0000 110)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поступлений налога в 2022 – 2024 годах 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налога в 2021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равным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нулю.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Налог на имущество физических лиц</w:t>
      </w:r>
      <w:r>
        <w:rPr>
          <w:rFonts w:ascii="Verdana" w:hAnsi="Verdana"/>
          <w:color w:val="292D24"/>
          <w:sz w:val="20"/>
          <w:szCs w:val="20"/>
        </w:rPr>
        <w:t> (код 1 06 01000 00 0000 110)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в 2021 году определяется на уровне фактического поступления налога в 2020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Земельный налог</w:t>
      </w:r>
      <w:r>
        <w:rPr>
          <w:rFonts w:ascii="Verdana" w:hAnsi="Verdana"/>
          <w:color w:val="292D24"/>
          <w:sz w:val="20"/>
          <w:szCs w:val="20"/>
        </w:rPr>
        <w:t> (код 1 06 06000 00 0000 110)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Verdana" w:hAnsi="Verdana"/>
          <w:color w:val="292D24"/>
          <w:sz w:val="20"/>
          <w:szCs w:val="20"/>
        </w:rPr>
        <w:t> (коды 1 11 05024 04 0000 120; 1 11 05025 05 0000 120; 1 11 05025 10 0000 120;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1 11 05025 13 0000 120)</w:t>
      </w:r>
      <w:proofErr w:type="gramEnd"/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арендной платы за земли на 2022 – 2024 годы прогнозируется на уровне ожидаемого поступления доходов в 2021 году.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Ожидаемое поступление в 2021 году рассчитывается исходя из фактического поступления доходов во 2 полугодии 2020 года и в 1 полугодии 2021 года.</w:t>
      </w:r>
    </w:p>
    <w:p w:rsidR="00EF2D2C" w:rsidRDefault="00EF2D2C" w:rsidP="00EF2D2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EF2D2C" w:rsidRDefault="00BA313B" w:rsidP="00EF2D2C"/>
    <w:sectPr w:rsidR="00BA313B" w:rsidRPr="00EF2D2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2230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57EA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4102-F90A-43D3-BCA9-E128CAE7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4707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231</cp:revision>
  <cp:lastPrinted>2020-01-20T13:02:00Z</cp:lastPrinted>
  <dcterms:created xsi:type="dcterms:W3CDTF">2020-01-17T12:11:00Z</dcterms:created>
  <dcterms:modified xsi:type="dcterms:W3CDTF">2023-11-14T17:01:00Z</dcterms:modified>
</cp:coreProperties>
</file>