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КУРСКОЙ ОБЛАСТИ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от 28 декабря 2017 года № VI-7/28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Об утверждении программы комплексного развития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транспортной инфраструктуры муниципального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образования «Корочанский сельсовет»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на 2017 - 2039 годы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        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В соответствии с Градостроительным кодексом Российской Федерации,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поселений, городских округов», генеральным планом муниципального образования «Корочанский сельсовет» Беловского района Курской области Собрание депутатов Корочанского сельсовета Беловского района  Курской области решило: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 1. Утвердить прилагаемую программу комплексного развития транспортной инфраструктуры муниципального образования «Корочанский сельсовет» Беловского района Курской области на 2017 - 2039 годы.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 2. Настоящее решение подлежит обнародованию на информационном стенде Корочанского сельсовета Беловского района Курской области и размещению на официальном сайте муниципального образования «Корочанский сельсовет» Беловского района Курской области в информационно-телекоммуникационной сети «Интернет»   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 3.Настоящее вступает в силу со дня его подписания.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 Беловского района                         А.П.Денисенко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                                               М.И.Звягинцева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Утверждена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Решением Собранием депутатов Корочанского сельсовета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28.12.2017 г № VI-7/29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«Об утверждении программы комплексного развития транспортной инфраструктуры муниципального образования «Корочанский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сельсовет» Беловского района Курской области на 2017 - 2039 годы»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Программа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комплексного развития транспортной инфраструктуры муниципального образования «Корочанский сельсовет» Беловского района Курской области на 2017-2039 годы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Раздел 1. Паспорт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программы  комплексного развития транспортной инфраструктуры Корочанского сельсовета Беловского района  Курской области на 2017-2039 годы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9"/>
        <w:gridCol w:w="5731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Программа комплексного развития транспортной  инфраструктуры Корочанского сельсовета Беловского района Курской области на 2017-2039 годы (далее - Программа)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Генеральный план муниципального образования «Корочанский сельсовет» Беловского района Курской области.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Заказчик Программы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  сельсовета Беловского района Курской области, Россия, Курская область, Беловский район, деревня Корочка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Разработчик Программы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университет»,  г. Курск, ул. 50 лет Октября, 94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а) повысить безопасность, качество и эффективность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д) создание условия для управления транспортным спросом;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з) создание условия для пешеходного и велосипедного передвижения населения;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Важнейшие целевые показатели 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- повышение безопасности, качества и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эффективности использования населением объектов транспортной инфраструктуры;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доступности объектов транспортной инфраструктуры;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 сбалансированное, перспективное развитие транспортной инфраструктуры;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2017-2039 годы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асфальтирование улиц с грунтовым покрытием, замена поврежденных и установка недостающих дорожных знаков,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формирование улично-дорожной сети на территориях новой жилой застройки;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Общий объем  финансирования Программы составит 41,5 млн. рублей, в т.ч.: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2017 год  –  0 млн. рублей;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2018 год  –  3 млн. рублей;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2019 год  –  12 млн. рублей;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год  – 0 млн. рублей;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2021 год  – 10 млн. рублей;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 – 2039 годы  16,5 млн. рублей;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 - средства бюджетов всех уровней,  инвестиции.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Раздел 2. Характеристика существующего состояния транспортной инфраструктуры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образование - Корочанский сельсовет расположен в центральной части Беловского района Курской области. Общая площадь земель в границах Корочанского сельсовета составляет 7405 га.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Границы и статус Корочанского сельсовета установлены Законом Курской области № 48-ЗКО «О муниципальных образованиях Курской области» от 21 октября 2004 года и Законом Курской области от 26 апреля 2010 года № 26-ЗКО. Территория сельсовета определена границами, существующими на момент принятия Устава Корочанского сельсовета Беловского района Курской области, в котором неотъемлемой частью и официальным документом, фиксирующим границы сельсовета, является схема и описание границ Корочанского сельсовета (Приложения №1 Устава).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Расстояние от административного центра сельсовета д. Корочка до районного центра (Cлобода Белая) – 5 км.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Ближайшая железнодорожная товарная и пассажирская станция находится в 18 км от сельсовета ст. «Псел».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 состав Корочанского сельсовета включено три населенных пункта: д. Корочка, с. Долгий Колодезь, д. Слободка-Корочка. Административным центром является д. Корочка. Численность населения на 01.01.2017 г. составила 908 человек.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Анализ существующего административно-территориального устройства сельсовета показывает, что оно не противоречит требованиям ФЗ-131 «Об общих принципах организации местного самоуправления в Российской Федерации».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Таблица. Сведения о населении муниципального образования (по населенным пунктам) на 2014г.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161"/>
        <w:gridCol w:w="1474"/>
        <w:gridCol w:w="2450"/>
        <w:gridCol w:w="884"/>
        <w:gridCol w:w="1678"/>
      </w:tblGrid>
      <w:tr w:rsidR="00386D78" w:rsidRPr="00386D78" w:rsidTr="00386D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Удаленность (км.)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Число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дворов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Общая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численность, чел.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от районного центра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357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с. Долгий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Колодезь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374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3.       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Слободка-Корочка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177</w:t>
            </w:r>
          </w:p>
        </w:tc>
      </w:tr>
      <w:tr w:rsidR="00386D78" w:rsidRPr="00386D78" w:rsidTr="00386D7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908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 точки зрения внешних транспортных связей муниципальное образование имеет хорошее расположение.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Внешние транспортные связи Корочанского сельсовета осуществляются автомобильным транспортом.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Основной въезд на территорию д. Корочка осуществляется по дороге межмуниципального значения «Белая - Кривецкие Буды» - Корочка.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образование не газифицировано. Основным видом деятельности населения является сельское хозяйство.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2.2. Социально-экономическая характеристика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Система культурно-бытового и социального  обслуживания муниципального образования «Корочанский сельсовет» Беловского района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расселения, уровня развития транспортной сети, - и представлена следующими объектами.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Школы.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казенное общеобразовательное учреждение «Корочкинская основная общеобразовательная школа»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 Адрес: 307920, Курская область, Беловский район, д. Корочка 167.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1977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60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2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Рассчитана на 192чел. учащихся, учится 43 чел.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Спортзал: есть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Столовая: есть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Спортплощадка: есть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 Муниципальное общеобразовательное учреждение «Долгоколодезьская начальная школа»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Адрес: 307920, Курская область, Беловский район, с. Долгий-Колодезь ул. Центральная 4.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80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Рассчитана на 50 чел. учащихся, учится 5чел.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Спортзал: нет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Столовая: нет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Спортплощадка: нет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Клубы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Адрес: 307920, Курская область, Беловский район, д. Корочка 169.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1967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60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Рассчитан на 150 чел.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казенное учреждение культуры «Долгоколодезьский ДД»;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Адрес: 307920, Курская область, Беловский район, с. Долгий-Колодезь ул. Центральная 2.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1959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60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Рассчитан на 120 чел.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казенное учреждение культуры «Слободка Корочанский ДД»;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Адрес: 307920, Курская область, Беловский район, д. Слободка-Корочка                              ул. Березовка 32.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1936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80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Рассчитан на 60 чел.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Библиотеки.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казенное учреждение культуры «Корочкинская центральная сельская библиотека»;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Юридический адрес: 307920, Курская область, Беловский район, д. Корочка 169.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Фактический адрес: 307920, Курская область, Беловский район, д. Корочка 169.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1960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60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Книжный фонд: 4700 книг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казенное учреждение культуры «Долгоколодеськая сельская библиотека»;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Юридический адрес: 307920, Курская область, Беловский район, с. Долгий-Колодезь ул. Центральная 6.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Фактический адрес: 307920, Курская область, Беловский район, с. Долгий-Колодезь ул. Центральная 6.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1955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70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Книжный фонд: 4100 книг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Фельдшерско-акушерские пункты.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Адрес: 307920, Курская область, Беловский район, д. Корочка 168.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Год постройки: 1950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Процент износа: 60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Этажность: 1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Результаты анализа свидетельствуют о том, что в целом обеспеченность сельсовета учреждениями социального и культурно-бытового обслуживания в целом соответствует градостроительным нормативам. Исключение составляют учреждения торговли (30,7% обеспеченности от нормативной емкости). Вместе с тем значительная часть объектов обслуживания характеризуются низким техническим состоянием зданий, не отвечающих современным требованиям и нуждающихся в замене.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Образование и воспитание.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Структура образовательных учреждений состоит из: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                 дошкольных образовательных учреждений;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                 общеобразовательных школьных учебных заведений.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Детские дошкольные учреждения.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 настоящее время в сельсовете дошкольных образовательных учреждений нет.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Общеобразовательные школы.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Обеспеченность населения Корочанского сельсовета услугами общеобразовательных учреждений составляет 100 %. В сельсовете функционируют две общеобразовательные школы в д. Корочка  и с. Долгий Колодезь.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Перечень объектов образования с указанием основных характеристик Корочанского с/с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792"/>
        <w:gridCol w:w="1728"/>
        <w:gridCol w:w="1442"/>
        <w:gridCol w:w="1557"/>
        <w:gridCol w:w="1378"/>
        <w:gridCol w:w="1078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Почтовый адрес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(почтовый индекс, 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наименование района, муниципального образования, населенного пункта)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ФИО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руководителя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(полностью)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 xml:space="preserve">Здание находится, в собственности 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(федеральной, областной, МО, хоз. субъекта)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Штатная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численность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сотрудников,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осн./технич.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Для школ и д/садов - чис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softHyphen/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ленность учащихся (воспи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softHyphen/>
              <w:t>танников)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МКОУ Корочкинская ООШ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д. Корочка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Д.167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Баранова Алла Викторовна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хоз. субъект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Долгоколодезьская начальная школа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с. Долгий Колодезь  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Ул. Центральная д 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Яковлева Елена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хоз. субъект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 сельсовете функционируют 2 общеобразовательные школы общей проектной мощностью 242 мест. Школы работают в односменном режиме. Наполняемость школ в муниципальном образовании составляет 21,5 %. С учетом высокой степени износа объектов образования генеральным планом предлагается реконструкция зданий и их капитальный ремонт, а также переход на газовое отопление.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Дополнительное образование.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Создание условий для свободного выбора каждым ребенком дополнительной образовательной зоны является главной задачей учреждений дополнительного образования.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Обеспеченность дошкольными учреждениями муниципального образования выше нормативного уровня согласно СП 42.13330.2011 и составляет 100 %.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Здравоохранение и социальное обеспечение.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Фельдшерско-акушерский пункт (ФАП)- является амбулаторно-поликлиническим учреждением в сельских населенных пунктах.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ФАП обслуживает один-два или более населенных пунктов, расположенных в радиусе 2-5 км от других лечебно-профилактических учреждений (в том числе ФАП) с общей численностью до 3000 человек.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Заведующий ФАП (фельдшер) возглавляет работу по организации и планированию лечебно-профилактической помощи на участке; несет ответственность за оказание своевременной медицинской (доврачебной) помощи при различных острых заболевания и  несчастных случаях.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Система здравоохранения Корочанского сельсовета Беловского района представлена двумя фельдшерско-акушерскими пунктами (ФАП).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Учреждения системы здравоохранения.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"/>
        <w:gridCol w:w="1760"/>
        <w:gridCol w:w="1684"/>
        <w:gridCol w:w="1406"/>
        <w:gridCol w:w="1518"/>
        <w:gridCol w:w="1343"/>
        <w:gridCol w:w="1274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Почтовый адрес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ФИО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руководителя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Здание находится, в собственности (федеральной, областной, МО, хоз. субъекта)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Штатная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численность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сотрудников,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осн./технич.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числ./штат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Для школ и д/садов - численность учащихся (воспи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softHyphen/>
              <w:t>танников)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Корочанский ФАП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д. 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Лихошерстова Вера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«Беловский район»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Долгоколодезьский ФАП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307920 Курская область, Беловский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район, Корочанский сельсовет, с. Долгий Колодезь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Шафоростова Наталья Афанасьевна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«Беловский район»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Слободка-Корочанский ФАП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307921 Курская область, Беловский район, Корочанский сельсовет, д. Слободка-Корочка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Вороненко Галина Александровна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Обеспеченность населения услугами здравоохранения не соответствует нормативным требованиям, в связи с тем, что ФАПы не укомплектованы специалистами. Основной проблемой системы здравоохранения является нехватка кадров в муниципальном образовании.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Учреждения культуры.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Главной целью отрасли культуры на территории Корочанского сельсовета является реализация государственной культурной политики, обеспечивающей свободный доступ граждан к культурным ценностям, свободу творчества и участия в культурной жизни.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 территории Корочанского сельсовета свою деятельность осуществляет 3 сельских дома культуры и 2 поселенческих библиотеки.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Перечень объектов культуры.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1682"/>
        <w:gridCol w:w="1609"/>
        <w:gridCol w:w="1344"/>
        <w:gridCol w:w="1450"/>
        <w:gridCol w:w="1284"/>
        <w:gridCol w:w="1632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Почтовый адрес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(почтовый индекс, наименование района, муниципального образования, населенного пункта)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ФИО: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руководителя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Здание находится в собственности (федеральной, областной, МО, хоз. субъекта)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Штатная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численность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сотрудников,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осн./технич.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Для школ и д/садов - численность учащихся (воспитанников)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МКУК «Корочанский ЦСДК»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д. 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Дубровина Алла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«Корочанский сельсовет»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Слободка – Корочанский Дом 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307921 Курская область, Беловский район, Корочанский сельсовет, д. Слободка-Корочка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Мотузова Анна Викторовна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«Корочанский сельсовет»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Долгоколодезьский Дом  Досуга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с. Долгий Колодезь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Артюхова Екатерина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«Корочанский сельсовет»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Сельские дома культуры Корочанского сельсовета не оборудованы киноустановками.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Перечень библиотек Корочанского сельсовета.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1671"/>
        <w:gridCol w:w="1611"/>
        <w:gridCol w:w="1346"/>
        <w:gridCol w:w="1452"/>
        <w:gridCol w:w="1286"/>
        <w:gridCol w:w="1635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Почтовый адрес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(почтовый индекс, наименование района, муниципаль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ного образования, населенного пункта)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ФИО: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руководителя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(полностью)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Здание находится в собственности (федеральной, областной, 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МО, хоз. субъекта)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Штатная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численность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сотрудников,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осн./техн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ич.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Для школ и д/садов - численность учащихся (воспитанников)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МКОУ «Корочкинская сельская библиотека»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д. Корочка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Шапошникова Наталья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Долгоколодезьская библиотека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307920 Курская область, Беловский район, Корочанский сельсовет, с. Долгий Колодезь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Аксенова Ирина Александровна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Обеспеченность населения учреждения культуры соответствует нормативным рекомендациям СП 42.13330.2011.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Спортивные сооружения и спортивные площадки.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Потенциал развития спортивного комплекса на территории Корочанского сельсовета сравнительно невысок: это спортивные залы при МКОУ ООШ.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Спортивные сооружения по состоянию на 01.01.2017 г.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1"/>
        <w:gridCol w:w="1565"/>
        <w:gridCol w:w="1259"/>
        <w:gridCol w:w="992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Площадь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спортивные сооружения-всего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спортивные залы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Физкультурные и спортивные сооружения общего пользования в сельсовете в настоящее время представлены спортивным залом и спортплощадкой при школе, обеспечивающими, в основном, только учебный процесс.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 числу основных проблем развития спорта, которые могут быть решены градостроительными методами, относятся:</w:t>
      </w:r>
    </w:p>
    <w:p w:rsidR="00386D78" w:rsidRPr="00386D78" w:rsidRDefault="00386D78" w:rsidP="00386D78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color w:val="3D4437"/>
          <w:sz w:val="20"/>
          <w:szCs w:val="20"/>
          <w:lang w:eastAsia="ru-RU"/>
        </w:rPr>
        <w:t>отсутствие системы проведения физкультурно-массовой работы по месту жительства населения.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2.3. Характеристика функционирования и показатели работы транспортной инфраструктуры по видам транспорта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Внешние транспортные связи Корочанского сельсовета осуществляются автомобильным транспортом.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Муниципальное образование, кроме того, охвачено сетью местных дорог д. Слободка - Корочка – д. Корочка – с.Долгий-Колодезь выходящих на дорогу межмуниципального значения «Белая - Кривецкие Буды» - Корочка.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Ближайшая железнодорожная станция находится в 18 км от сельсовета станция «Псёл».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Перечень автомобильных дорог, расположенных на территории Корочанского сельсовета Беловского района Курской области.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929"/>
        <w:gridCol w:w="380"/>
        <w:gridCol w:w="383"/>
        <w:gridCol w:w="507"/>
        <w:gridCol w:w="887"/>
        <w:gridCol w:w="965"/>
        <w:gridCol w:w="381"/>
        <w:gridCol w:w="383"/>
        <w:gridCol w:w="507"/>
        <w:gridCol w:w="887"/>
        <w:gridCol w:w="965"/>
        <w:gridCol w:w="1182"/>
      </w:tblGrid>
      <w:tr w:rsidR="00386D78" w:rsidRPr="00386D78" w:rsidTr="00386D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Населенный пункт муниципального района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дороги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Протяженность, км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Балансодержатель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автомобильной дороги от ближайшей существующей автомобильной дороги с асфальтобетонным (цементобетонным) покрытием до населенного пункта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уличной дорожной сети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т.ч. по видам дорожной одежды: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т.ч. по видам дорожной одежды: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цементобетон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цементобетон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386D78" w:rsidRPr="00386D78" w:rsidTr="00386D78">
        <w:tc>
          <w:tcPr>
            <w:tcW w:w="0" w:type="auto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Бесхоз.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с.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с.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Обл./бесх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Слободка-Корочка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Слободка-Корочка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Бесхоз.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Общая протяженность автодорог общего пользования на территории Корочанского сельсовета, составляет порядка 40,0 км.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 </w:t>
      </w: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I очередь строительства генеральным планом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предусмотрены следующие мероприятия: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реконструкция и строительство подъездных дорог к населённым пунктам сельсовета;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проведение мероприятий по организации передачи дорог в собственность муниципального образования «Корочанский сельсовет»;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установка технических средств организации движения и информации согласно требованиям ГОСТ Р52289-2004 для предотвращения дорожно-транспортных происшествий и чрезвычайных ситуаций;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нанесение дорожной разметки, замена поврежденных и установка новых дорожных ограждений, замена поврежденных и установка недостающих дорожных знаков, установка дорожных знаков индивидуального проектирования;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при организации новой жилой застройки предусмотреть строительство улично-дорожной сети (новых улиц, переулков). Доля улиц и проездов от общего количества комплексной жилой застройки должна составлять 5–7%;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реконструкция мостовых сооружений, расположенных на территории муниципального образования;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строительство станции технического обслуживания (СТО).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Реконструкция дорог с твердым покрытием позволит улучшить качество жизни населения. Из-за низкого качества асфальтированных дорог объекты социальной инфраструктуры – здравоохранения, образования, культуры и др. – используются не на полную мощность, так как население переезжает в более благоустроенные населенные пункты, что ограничивает возможности учреждений по выполнению их функциональных обязанностей.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 xml:space="preserve">Реализация вышеуказанных мероприятий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2.4.  Характеристика сети дорог поселения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Улично-дорожная сеть Корочанского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Категории улиц и дорог должны эксплуатироваться в соответствии с классификацией, приведенной в следующей таблице.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Таблица. Параметры улиц и дорог сельского поселения.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1749"/>
        <w:gridCol w:w="1919"/>
        <w:gridCol w:w="1356"/>
        <w:gridCol w:w="1342"/>
        <w:gridCol w:w="1260"/>
        <w:gridCol w:w="1283"/>
      </w:tblGrid>
      <w:tr w:rsidR="00386D78" w:rsidRPr="00386D78" w:rsidTr="00386D78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Категория сельских улиц и дорог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Основное назначение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Расчетная скорость движения, км/ч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Ширина полосы движения, 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Число полос движения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Ширина пе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softHyphen/>
              <w:t>шеходной части тро</w:t>
            </w: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softHyphen/>
              <w:t>туара, м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Поселковая дорога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Связь муниципального образования с внешними дорогами общей сети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Главная улица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Связь жилых территорий с общественным центром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1,5-2,25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Улица в жилой застройке: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Связь внутри жилых территорий и с главной улицей по направле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softHyphen/>
              <w:t>ниям с интенсивным движением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1,0-1,5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второстепенная (переулок)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Связь между основными жилыми улицами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Связь жилых домов, располо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softHyphen/>
              <w:t>женных в глубине квартала, с улицей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2,75-3,0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Хозяйственный проезд, скотопрогон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Прогон личного скота и проезд грузового транспорта к приуса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softHyphen/>
              <w:t>дебным участкам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Общая протяженность дорог общее пользования на территории Корочанского сельсовета составляет 35 км 655 м., из них  подлежат  восстановлению 8,9 км, планируется строительство дорог протяженностью 15 км 450м.  в период 2014-2020 гг.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 Имеющееся твердое покрытие требует реконструкции.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Таким образом, основной проблемой улично-дорожной сети является низкий уровень ее благоустройства.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Проектные предложения.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Генеральным планом предусматривается сохранение и дальнейшее развитие сложившейся структуры улично-дорожной сети населенных пунктов муниципального образования «Корочанский сельсовет».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Генеральным планом на I очередь строительства предусмотрены следующие мероприятия: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- строительство подъездных дорог д.Слободка Корочка, с. Долгий Колодезь 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-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восстановление изношенных верхних слоев дорожных покрытий с обеспечением требуемой ровности и шероховатости поъездных дорог (около 3 км);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-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восстановление изношенных верхних слоев дорожных покрытий с обеспечением требуемой ровности и шероховатости на всех автомобильных дорог общего пользования (около 11 км);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асфальтирование порядка 28 км улиц с грунтовым и/или щебеночным покрытием;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 планируется строительство дорог протяженностью 15км 450м.  в период 2014-2020 гг.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- при организации новой жилой застройки предусмотреть строительство улично-дорожной сети (новых улиц, переулков). Доля улиц и проездов от общего количества комплексной жилой застройки должна составлять 5–7%.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Таблица. Перечень межпоселковых дорог, требующих улучшения дорожного покрытия и строительства.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1580"/>
        <w:gridCol w:w="708"/>
        <w:gridCol w:w="711"/>
        <w:gridCol w:w="959"/>
        <w:gridCol w:w="1715"/>
        <w:gridCol w:w="1852"/>
      </w:tblGrid>
      <w:tr w:rsidR="00386D78" w:rsidRPr="00386D78" w:rsidTr="00386D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Населенный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пункт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дороги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Протяженность, км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автомобильной дороги от ближайшей существующей автомобильной дороги с асфальтобетонным (цементобетонным) покрытием до населенного пункта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т.ч. по видам дорожного покрытия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цементобетон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асфальтобетон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С.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</w:tr>
      <w:tr w:rsidR="00386D78" w:rsidRPr="00386D78" w:rsidTr="00386D7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3,0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Таблица. Перечень улиц, требующих улучшения дорожного покрытия и строительства.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8"/>
        <w:gridCol w:w="1870"/>
        <w:gridCol w:w="621"/>
        <w:gridCol w:w="624"/>
        <w:gridCol w:w="841"/>
        <w:gridCol w:w="1505"/>
        <w:gridCol w:w="1641"/>
      </w:tblGrid>
      <w:tr w:rsidR="00386D78" w:rsidRPr="00386D78" w:rsidTr="00386D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Населенный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пункт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дороги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Протяженность, км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уличной дорожной сети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т.ч. по видам дорожного покрытия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цементобетон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Асфальтобетон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Д..Корочка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С.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</w:tr>
      <w:tr w:rsidR="00386D78" w:rsidRPr="00386D78" w:rsidTr="00386D7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Таблица. Сведения о дорожной сети, подлежащей капитальному ремонту (реконструкции) и строительству.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1848"/>
        <w:gridCol w:w="2007"/>
        <w:gridCol w:w="3331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сельского 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дороги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Существующее покрытие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Длина участка, требующего ремонта (реконструкции), км</w:t>
            </w:r>
          </w:p>
        </w:tc>
      </w:tr>
      <w:tr w:rsidR="00386D78" w:rsidRPr="00386D78" w:rsidTr="00386D7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«Корочанский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Д. Слободка 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Д. Слободка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Корочка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Асфальтобетон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С.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</w:t>
            </w:r>
          </w:p>
        </w:tc>
      </w:tr>
      <w:tr w:rsidR="00386D78" w:rsidRPr="00386D78" w:rsidTr="00386D7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386D78" w:rsidRPr="00386D78" w:rsidRDefault="00386D78" w:rsidP="00386D78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С.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 территории муниципального образования используется легковой, грузовой и сельхоз автотранспорт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Парковок (парковочных мест ) на территории поселения не имеется и строительство не планируется.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Весь автопарк принадлежит гражданам на праве личной собственности и  хозяйствующим субъектам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2.6.  Характеристика работы транспортных средств общего пользования, включая анализ пассажиропотока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Грузовые перевозки осуществляются автотранспортом предприятий и частными предпринимателями.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Автобусные пассажирские перевозки осуществляются ежедневно.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Общественный пассажирский транспорт в населенных пунктах сельсовета отсутствует.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Индивидуальные пассажирские перевозки осуществляются на личном транспорте населения.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Пассажирские и грузовые перевозки.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Автомобильным транспортом осуществляются как пассажирские, так и грузоперевозки.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Пассажирские перевозки общественным автомобильным транспортом на территории района осуществляет ОГУП «Беловское АТП» 2 рейса в день.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Таблица. Автобусные маршруты, обслуживаемые ОГУП «Беловское АТП»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7567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№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Маршруты движения междугородных и пригородных автобусов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Белая-Курск, Белая - Коммунар -Щеголек, Белая-Кривицкие Буды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Индивидуальный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 автомобильных дорогах Корочанского сельсовета постов ГИБДД нет.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Проектные предложения.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Внешние связи поселения будут обеспечиваться, как и в настоящее время, автомобильным и железнодорожным транспортом.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Базовыми принципами развития транспортной системы должны стать:</w:t>
      </w:r>
    </w:p>
    <w:p w:rsidR="00386D78" w:rsidRPr="00386D78" w:rsidRDefault="00386D78" w:rsidP="00386D78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color w:val="3D4437"/>
          <w:sz w:val="20"/>
          <w:szCs w:val="20"/>
          <w:lang w:eastAsia="ru-RU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386D78" w:rsidRPr="00386D78" w:rsidRDefault="00386D78" w:rsidP="00386D78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color w:val="3D4437"/>
          <w:sz w:val="20"/>
          <w:szCs w:val="20"/>
          <w:lang w:eastAsia="ru-RU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386D78" w:rsidRPr="00386D78" w:rsidRDefault="00386D78" w:rsidP="00386D78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color w:val="3D4437"/>
          <w:sz w:val="20"/>
          <w:szCs w:val="20"/>
          <w:lang w:eastAsia="ru-RU"/>
        </w:rPr>
        <w:t>Повышение мобильности населения как фактора экономического развития.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2.7. Характеристика условий пешеходного и велосипедного передвижения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Специально  отведенных пешеходных дорожек на территории муниципального образования не имеется.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Для безопасного перехода граждан через проезжую часть на территории муниципального образования имеются  пешеходные переходы.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Специально отведенных  велосипедных дорожек нет. Движение  велосипедного  транспорта производится по проезжей части.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2.9. Анализ уровня безопасности дорожного движения;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Обстановка с аварийностью на территории Корочанского сельсовета остается сложной. 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По результатам исследований атмосферного воздуха в Корочанском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 первую очередь существующих условий и перспектив развития и размещения транспортной инфраструктуры сельсовета  предлагается: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реконструкция мостовых сооружений, расположенных на территории муниципального образования.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Реализация вышеуказанных мероприятий 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Для функционирования и развития транспортной инфраструктуры  муниципального образования «Корочанский сельсовет» Беловского района Курской области имеется следующая нормативная  правовая база.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Генеральный план муниципального образования «Корочанский сельсовет» Беловского района Курской области,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 Правила землепользования и застройки территории Корочанского сельсовета Беловского района Курской области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 xml:space="preserve">Для качественного функционирования и развития транспортной инфраструктуры муниципального образования  «Корочанский сельсовет» Беловского района Курской 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области необходимо постоянно актуализировать  и дополнять нормативно правовую базу.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2.13 Оценка финансирования транспортной инфраструктуры.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Уровень финансирования муниципального образования достаточно низкий. Денежных средств  за последние  5 лет на финансирование транспортной инфраструктуры  в бюджете муниципального образования «Корочанский  сельсовет» не предусматривалось.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3.1. Прогноз социально-экономического и градостроительного развития поселения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Анализ современной ситуации выявил основные направления демографических процессов в сельсовете:</w:t>
      </w:r>
    </w:p>
    <w:p w:rsidR="00386D78" w:rsidRPr="00386D78" w:rsidRDefault="00386D78" w:rsidP="00386D78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color w:val="3D4437"/>
          <w:sz w:val="20"/>
          <w:szCs w:val="20"/>
          <w:lang w:eastAsia="ru-RU"/>
        </w:rPr>
        <w:t>снижение численности населения за счет естественного прироста;</w:t>
      </w:r>
    </w:p>
    <w:p w:rsidR="00386D78" w:rsidRPr="00386D78" w:rsidRDefault="00386D78" w:rsidP="00386D78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color w:val="3D4437"/>
          <w:sz w:val="20"/>
          <w:szCs w:val="20"/>
          <w:lang w:eastAsia="ru-RU"/>
        </w:rPr>
        <w:t>демографическое «старение» населения сельсовета.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Выявленные тенденции в демографическом движении численности населения  Корочанского сельсовета позволяют сделать прогноз изменения численности на перспективу.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Оценка перспективного изменения численности населения в достаточно широком временном диапазоне (до 2039г.)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2020 год (первая очередь генерального плана) и 2039 год (расчетный срок).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2039 года.</w:t>
      </w:r>
    </w:p>
    <w:p w:rsidR="00386D78" w:rsidRPr="00386D78" w:rsidRDefault="00386D78" w:rsidP="00386D78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3D4437"/>
          <w:sz w:val="20"/>
          <w:lang w:eastAsia="ru-RU"/>
        </w:rP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 xml:space="preserve">На период  2017-2039 годов прогнозируется уменьшение числа жителей,  но  увеличение уровня автомобилизации населения и притока 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3.3. Прогноз развития транспортной инфраструктуры по видам транспорта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 расчетный срок внешние связи поселения будут обеспечиваться, как и в настоящее время, автомобильным  транспортом.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Базовыми принципами развития транспортной системы должны стать: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Повышение мобильности населения как фактора экономического развития.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3.4. Прогноз развития дорожной сети поселения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Основные принципы развития транспортного комплекса на территории муниципального образования 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3.5. Прогноз  уровня автомобилизации, параметров дорожного движения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На сегодняшний день уровень автомобилизации населения достаточно высок. Учитывая рост притока автомобильного транспорта  в весеннее- летний период, общее число автомобилей также увеличиться</w:t>
      </w:r>
    </w:p>
    <w:p w:rsidR="00386D78" w:rsidRPr="00386D78" w:rsidRDefault="00386D78" w:rsidP="00386D78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3D4437"/>
          <w:sz w:val="20"/>
          <w:lang w:eastAsia="ru-RU"/>
        </w:rPr>
        <w:t>Прогноз показателей безопасности дорожного движения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Увеличение  дорожно-транспортных происшествий   связано 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Сокращение количества человек, погибших в результате дорожно-транспортных происшествий, 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Учитывая рост  общего 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Раздел 4.  Укрупненная оценка принципиальных вариантов развития транспортной инфраструктуры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1716"/>
        <w:gridCol w:w="1900"/>
        <w:gridCol w:w="1443"/>
        <w:gridCol w:w="1390"/>
        <w:gridCol w:w="1996"/>
      </w:tblGrid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       № 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Реконструкция, проектирование или строительство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Затраты на реализацию проекта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(млн.руб)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Предполагаемый источник финансирования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2.       1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МО,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Автодорога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МО,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Автомобильная </w:t>
            </w: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дорога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строительство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МО,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областной бюджет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Автомобильная дорога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2022-2039г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МО,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386D78" w:rsidRPr="00386D78" w:rsidTr="00386D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Дорожные знаки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установка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2022-2039г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 МО,</w:t>
            </w:r>
          </w:p>
          <w:p w:rsidR="00386D78" w:rsidRPr="00386D78" w:rsidRDefault="00386D78" w:rsidP="00386D7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386D7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районный бюджет</w:t>
            </w:r>
          </w:p>
        </w:tc>
      </w:tr>
    </w:tbl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 Общий объем финансирования по Программе   составляет всего –40,5 млн.руб.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Финансово-экономическое обоснование программы на 2017 - 2039 годы будет производиться ежегодно, по мере уточнения утверждения инвестиционных программ и объемов финансирования.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1. Оценка эффективности реализации Программы (далее – Оценка) осуществляется заказчиком Программы ежегодно в течение всего срока        ее реализации и по окончании ее реализации.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3. Оценка осуществляется по следующим критериям: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3.1. Достижение запланированных значений целевых показателей.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Степень достижения запланированных результатов по каждому целевому показателю за отчетный период (И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i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) проводится путем сопоставления фактически достигнутого значения целевого показателя         за отчетный период (И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) с его плановым значением (И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) по следующей формуле: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 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         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i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= ----------,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 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i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– степень достижения планового значения целевого показателя                  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– значение показателя, фактически достигнутое на конец отчетного периода;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– 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плановое значение целевого показателя в отчетном периоде.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i – порядковый номер целевого показателя.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                         ∑ 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i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 И = ----------,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 N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∑ И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i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– сумма оценок достижения плановых значений показателей                  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N – количество целевых показателей Программы, подлежащих выполнению в отчетном периоде.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3.2. Соответствие объемов фактического финансирования запланированным объемам.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 Ф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 Ф = -----------,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 Ф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 – степень уровня финансирования мероприятий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– фактический объем финансирования мероприятий Программы           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– объем финансирования мероприятий, предусмотренный Программой на отчетный период.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3.3. Выполнение запланированных мероприятий.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             к его запланированному значению (Мплан) по следующей формуле: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 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 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j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= ------------,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                     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j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– показатель степени выполнения мероприятия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факт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– фактически полученный результат по мероприятию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план 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– предусмотренный Программой ожидаемый результат по мероприятию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j – порядковый номер мероприятия Программы.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 ∑ 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j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                                        М = ------------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 К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 – среднее значение степени выполнения запланированных мероприятий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∑ М</w:t>
      </w:r>
      <w:r w:rsidRPr="00386D78">
        <w:rPr>
          <w:rFonts w:ascii="Verdana" w:hAnsi="Verdana"/>
          <w:color w:val="292D24"/>
          <w:sz w:val="20"/>
          <w:szCs w:val="20"/>
          <w:vertAlign w:val="subscript"/>
          <w:lang w:eastAsia="ru-RU"/>
        </w:rPr>
        <w:t>j</w:t>
      </w:r>
      <w:r w:rsidRPr="00386D78">
        <w:rPr>
          <w:rFonts w:ascii="Verdana" w:hAnsi="Verdana"/>
          <w:color w:val="292D24"/>
          <w:sz w:val="20"/>
          <w:szCs w:val="20"/>
          <w:lang w:eastAsia="ru-RU"/>
        </w:rPr>
        <w:t> – сумма оценок степени выполнения запланированных мероприятий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К – количество мероприятий Программы, подлежащих выполнению               в отчетном периоде.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 М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 Э = --------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                               Ф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 – эффективность использования финансовых средств Программы              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М – среднее значение степени выполнения запланированных мероприятий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Ф – степень уровня финансирования мероприятий Программы в отчетном периоде.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lastRenderedPageBreak/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 П =   И x Э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П – показатель эффективности реализации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Э – эффективность использования финансовых средств Программы                 в отчетном периоде.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6. Вывод об эффективности реализации Программы формируется                        на основании значений П.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Реализация Программы признается: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 высоким уровнем эффективности, если значение П больше либо равно 0,9;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со средним уровнем эффективности, если значение П меньше 0,9,                     но больше либо равно 0,7.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В остальных случаях реализация Программы признается с низким уровнем эффективности.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b/>
          <w:bCs/>
          <w:color w:val="292D24"/>
          <w:sz w:val="20"/>
          <w:lang w:eastAsia="ru-RU"/>
        </w:rPr>
        <w:t>Раздел 8.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386D78" w:rsidRPr="00386D78" w:rsidRDefault="00386D78" w:rsidP="00386D7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386D78">
        <w:rPr>
          <w:rFonts w:ascii="Verdana" w:hAnsi="Verdana"/>
          <w:color w:val="292D24"/>
          <w:sz w:val="20"/>
          <w:szCs w:val="20"/>
          <w:lang w:eastAsia="ru-RU"/>
        </w:rPr>
        <w:t>Для качественного функционирования и развития транспортной инфраструктуры муниципального образования «Корочанский сельсовет Беловского района Курской области необходимо постоянно актуализировать и дополнять нормативно-правовую базу.</w:t>
      </w:r>
    </w:p>
    <w:p w:rsidR="00BA313B" w:rsidRPr="00386D78" w:rsidRDefault="00BA313B" w:rsidP="00386D78"/>
    <w:sectPr w:rsidR="00BA313B" w:rsidRPr="00386D7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2603F4B"/>
    <w:multiLevelType w:val="multilevel"/>
    <w:tmpl w:val="CD12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46DC9"/>
    <w:multiLevelType w:val="multilevel"/>
    <w:tmpl w:val="1A2C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6526DF"/>
    <w:multiLevelType w:val="multilevel"/>
    <w:tmpl w:val="FDA6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E7425DE"/>
    <w:multiLevelType w:val="multilevel"/>
    <w:tmpl w:val="D990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670C10"/>
    <w:multiLevelType w:val="multilevel"/>
    <w:tmpl w:val="F43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B7939-C7BB-4C43-B66D-7C3CE8F6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4781</TotalTime>
  <Pages>29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325</cp:revision>
  <cp:lastPrinted>2020-01-20T13:02:00Z</cp:lastPrinted>
  <dcterms:created xsi:type="dcterms:W3CDTF">2020-01-17T12:11:00Z</dcterms:created>
  <dcterms:modified xsi:type="dcterms:W3CDTF">2023-11-14T18:15:00Z</dcterms:modified>
</cp:coreProperties>
</file>